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7D39B199"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900FD3">
                              <w:rPr>
                                <w:b/>
                                <w:bCs/>
                                <w:i/>
                                <w:iCs/>
                                <w:color w:val="4472C4" w:themeColor="accent1"/>
                                <w:sz w:val="44"/>
                                <w:szCs w:val="44"/>
                              </w:rPr>
                              <w:t>22</w:t>
                            </w:r>
                            <w:r w:rsidR="00900FD3" w:rsidRPr="00900FD3">
                              <w:rPr>
                                <w:b/>
                                <w:bCs/>
                                <w:i/>
                                <w:iCs/>
                                <w:color w:val="4472C4" w:themeColor="accent1"/>
                                <w:sz w:val="44"/>
                                <w:szCs w:val="44"/>
                                <w:vertAlign w:val="superscript"/>
                              </w:rPr>
                              <w:t>nd</w:t>
                            </w:r>
                            <w:r w:rsidR="00900FD3">
                              <w:rPr>
                                <w:b/>
                                <w:bCs/>
                                <w:i/>
                                <w:iCs/>
                                <w:color w:val="4472C4" w:themeColor="accent1"/>
                                <w:sz w:val="44"/>
                                <w:szCs w:val="44"/>
                              </w:rPr>
                              <w:t xml:space="preserve"> of July</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7D39B199"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900FD3">
                        <w:rPr>
                          <w:b/>
                          <w:bCs/>
                          <w:i/>
                          <w:iCs/>
                          <w:color w:val="4472C4" w:themeColor="accent1"/>
                          <w:sz w:val="44"/>
                          <w:szCs w:val="44"/>
                        </w:rPr>
                        <w:t>22</w:t>
                      </w:r>
                      <w:r w:rsidR="00900FD3" w:rsidRPr="00900FD3">
                        <w:rPr>
                          <w:b/>
                          <w:bCs/>
                          <w:i/>
                          <w:iCs/>
                          <w:color w:val="4472C4" w:themeColor="accent1"/>
                          <w:sz w:val="44"/>
                          <w:szCs w:val="44"/>
                          <w:vertAlign w:val="superscript"/>
                        </w:rPr>
                        <w:t>nd</w:t>
                      </w:r>
                      <w:r w:rsidR="00900FD3">
                        <w:rPr>
                          <w:b/>
                          <w:bCs/>
                          <w:i/>
                          <w:iCs/>
                          <w:color w:val="4472C4" w:themeColor="accent1"/>
                          <w:sz w:val="44"/>
                          <w:szCs w:val="44"/>
                        </w:rPr>
                        <w:t xml:space="preserve"> of July</w:t>
                      </w:r>
                      <w:r w:rsidR="00101CD6">
                        <w:rPr>
                          <w:b/>
                          <w:bCs/>
                          <w:i/>
                          <w:iCs/>
                          <w:color w:val="4472C4" w:themeColor="accent1"/>
                          <w:sz w:val="44"/>
                          <w:szCs w:val="44"/>
                        </w:rPr>
                        <w:t xml:space="preserve"> 2025</w:t>
                      </w:r>
                    </w:p>
                  </w:txbxContent>
                </v:textbox>
                <w10:wrap type="topAndBottom" anchorx="margin"/>
              </v:shape>
            </w:pict>
          </mc:Fallback>
        </mc:AlternateContent>
      </w:r>
    </w:p>
    <w:p w14:paraId="1CB0631F" w14:textId="77777777" w:rsidR="009C659A" w:rsidRDefault="009C659A" w:rsidP="00315167">
      <w:pPr>
        <w:spacing w:after="0"/>
        <w:textAlignment w:val="baseline"/>
        <w:rPr>
          <w:rFonts w:ascii="Calibri" w:hAnsi="Calibri" w:cs="Calibri"/>
          <w:b/>
          <w:bCs/>
          <w:color w:val="2F5496" w:themeColor="accent1" w:themeShade="BF"/>
        </w:rPr>
      </w:pPr>
    </w:p>
    <w:p w14:paraId="15A3C352" w14:textId="77777777" w:rsidR="00752146" w:rsidRDefault="00752146" w:rsidP="00315167">
      <w:pPr>
        <w:spacing w:after="0"/>
        <w:textAlignment w:val="baseline"/>
        <w:rPr>
          <w:rFonts w:ascii="Calibri" w:hAnsi="Calibri" w:cs="Calibri"/>
          <w:b/>
          <w:bCs/>
          <w:color w:val="2F5496" w:themeColor="accent1" w:themeShade="BF"/>
        </w:rPr>
      </w:pPr>
    </w:p>
    <w:p w14:paraId="0C327022" w14:textId="77777777" w:rsidR="00752146" w:rsidRDefault="00752146" w:rsidP="00315167">
      <w:pPr>
        <w:spacing w:after="0"/>
        <w:textAlignment w:val="baseline"/>
        <w:rPr>
          <w:rFonts w:ascii="Calibri" w:hAnsi="Calibri" w:cs="Calibri"/>
          <w:b/>
          <w:bCs/>
          <w:color w:val="2F5496" w:themeColor="accent1" w:themeShade="BF"/>
        </w:rPr>
      </w:pPr>
    </w:p>
    <w:p w14:paraId="780063CD" w14:textId="26EC03F9" w:rsidR="00752146"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1" w:history="1">
        <w:proofErr w:type="spellStart"/>
        <w:r w:rsidR="00441557" w:rsidRPr="004801DB">
          <w:rPr>
            <w:rStyle w:val="Hyperlink"/>
            <w:rFonts w:ascii="Calibri" w:hAnsi="Calibri" w:cs="Calibri"/>
            <w:b/>
            <w:bCs/>
            <w:color w:val="2F5496" w:themeColor="accent1" w:themeShade="BF"/>
          </w:rPr>
          <w:t>Inclisiran</w:t>
        </w:r>
        <w:proofErr w:type="spellEnd"/>
        <w:r w:rsidR="00441557" w:rsidRPr="004801DB">
          <w:rPr>
            <w:rStyle w:val="Hyperlink"/>
            <w:rFonts w:ascii="Calibri" w:hAnsi="Calibri" w:cs="Calibri"/>
            <w:b/>
            <w:bCs/>
            <w:color w:val="2F5496" w:themeColor="accent1" w:themeShade="BF"/>
          </w:rPr>
          <w:t xml:space="preserve"> reimbursement</w:t>
        </w:r>
      </w:hyperlink>
      <w:r w:rsidR="00441557" w:rsidRPr="004801DB">
        <w:rPr>
          <w:rFonts w:ascii="Calibri" w:hAnsi="Calibri" w:cs="Calibri"/>
          <w:b/>
          <w:bCs/>
          <w:color w:val="2F5496" w:themeColor="accent1" w:themeShade="BF"/>
        </w:rPr>
        <w:t xml:space="preserve"> </w:t>
      </w:r>
    </w:p>
    <w:p w14:paraId="50F5596D" w14:textId="7E739003" w:rsidR="00441557"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2" w:history="1">
        <w:r w:rsidR="00441557" w:rsidRPr="004801DB">
          <w:rPr>
            <w:rStyle w:val="Hyperlink"/>
            <w:rFonts w:ascii="Calibri" w:hAnsi="Calibri" w:cs="Calibri"/>
            <w:b/>
            <w:bCs/>
            <w:color w:val="2F5496" w:themeColor="accent1" w:themeShade="BF"/>
          </w:rPr>
          <w:t>GPs in England Premises survey</w:t>
        </w:r>
      </w:hyperlink>
    </w:p>
    <w:p w14:paraId="37A74E43" w14:textId="42A57378" w:rsidR="00441557"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3" w:history="1">
        <w:proofErr w:type="spellStart"/>
        <w:r w:rsidR="00441557" w:rsidRPr="004801DB">
          <w:rPr>
            <w:rStyle w:val="Hyperlink"/>
            <w:rFonts w:ascii="Calibri" w:hAnsi="Calibri" w:cs="Calibri"/>
            <w:b/>
            <w:bCs/>
            <w:color w:val="2F5496" w:themeColor="accent1" w:themeShade="BF"/>
          </w:rPr>
          <w:t>OpenSAFELY</w:t>
        </w:r>
        <w:proofErr w:type="spellEnd"/>
        <w:r w:rsidR="00441557" w:rsidRPr="004801DB">
          <w:rPr>
            <w:rStyle w:val="Hyperlink"/>
            <w:rFonts w:ascii="Calibri" w:hAnsi="Calibri" w:cs="Calibri"/>
            <w:b/>
            <w:bCs/>
            <w:color w:val="2F5496" w:themeColor="accent1" w:themeShade="BF"/>
          </w:rPr>
          <w:t xml:space="preserve"> Data Provision Notice</w:t>
        </w:r>
      </w:hyperlink>
    </w:p>
    <w:p w14:paraId="369C9340" w14:textId="0F4223E5" w:rsidR="00441557"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4" w:history="1">
        <w:r w:rsidR="00441557" w:rsidRPr="004801DB">
          <w:rPr>
            <w:rStyle w:val="Hyperlink"/>
            <w:rFonts w:ascii="Calibri" w:hAnsi="Calibri" w:cs="Calibri"/>
            <w:b/>
            <w:bCs/>
            <w:color w:val="2F5496" w:themeColor="accent1" w:themeShade="BF"/>
          </w:rPr>
          <w:t>Independent review of the physician associate and anaesthesia associate roles: final report</w:t>
        </w:r>
      </w:hyperlink>
    </w:p>
    <w:p w14:paraId="1DCD14AB" w14:textId="290D24D5" w:rsidR="00441557"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5" w:history="1">
        <w:r w:rsidR="00441557" w:rsidRPr="004801DB">
          <w:rPr>
            <w:rStyle w:val="Hyperlink"/>
            <w:rFonts w:ascii="Calibri" w:hAnsi="Calibri" w:cs="Calibri"/>
            <w:b/>
            <w:bCs/>
            <w:color w:val="2F5496" w:themeColor="accent1" w:themeShade="BF"/>
          </w:rPr>
          <w:t>ARRS maximum reimbursement rates updated and backfired</w:t>
        </w:r>
      </w:hyperlink>
    </w:p>
    <w:p w14:paraId="3AE29B25" w14:textId="2AD7185F" w:rsidR="00441557"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6" w:history="1">
        <w:proofErr w:type="spellStart"/>
        <w:r w:rsidR="00441557" w:rsidRPr="004801DB">
          <w:rPr>
            <w:rStyle w:val="Hyperlink"/>
            <w:rFonts w:ascii="Calibri" w:hAnsi="Calibri" w:cs="Calibri"/>
            <w:b/>
            <w:bCs/>
            <w:color w:val="2F5496" w:themeColor="accent1" w:themeShade="BF"/>
          </w:rPr>
          <w:t>Oberthur</w:t>
        </w:r>
        <w:proofErr w:type="spellEnd"/>
        <w:r w:rsidR="00441557" w:rsidRPr="004801DB">
          <w:rPr>
            <w:rStyle w:val="Hyperlink"/>
            <w:rFonts w:ascii="Calibri" w:hAnsi="Calibri" w:cs="Calibri"/>
            <w:b/>
            <w:bCs/>
            <w:color w:val="2F5496" w:themeColor="accent1" w:themeShade="BF"/>
          </w:rPr>
          <w:t xml:space="preserve"> middleware – action required from IT support teams</w:t>
        </w:r>
      </w:hyperlink>
    </w:p>
    <w:p w14:paraId="27198178" w14:textId="33DCA2BD" w:rsidR="00441557"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7" w:history="1">
        <w:r w:rsidR="00441557" w:rsidRPr="004801DB">
          <w:rPr>
            <w:rStyle w:val="Hyperlink"/>
            <w:rFonts w:ascii="Calibri" w:hAnsi="Calibri" w:cs="Calibri"/>
            <w:b/>
            <w:bCs/>
            <w:color w:val="2F5496" w:themeColor="accent1" w:themeShade="BF"/>
          </w:rPr>
          <w:t>Rebuild General Practice Newsletter – Our Response to the 10 Year Health Plan for England</w:t>
        </w:r>
      </w:hyperlink>
      <w:r w:rsidR="00441557" w:rsidRPr="004801DB">
        <w:rPr>
          <w:rFonts w:ascii="Calibri" w:hAnsi="Calibri" w:cs="Calibri"/>
          <w:b/>
          <w:bCs/>
          <w:color w:val="2F5496" w:themeColor="accent1" w:themeShade="BF"/>
        </w:rPr>
        <w:t xml:space="preserve"> </w:t>
      </w:r>
    </w:p>
    <w:p w14:paraId="35E3A3B4" w14:textId="6989F520" w:rsidR="00441557" w:rsidRPr="004801DB" w:rsidRDefault="004801DB" w:rsidP="00441557">
      <w:pPr>
        <w:pStyle w:val="ListParagraph"/>
        <w:numPr>
          <w:ilvl w:val="0"/>
          <w:numId w:val="56"/>
        </w:numPr>
        <w:spacing w:after="0"/>
        <w:textAlignment w:val="baseline"/>
        <w:rPr>
          <w:rFonts w:ascii="Calibri" w:hAnsi="Calibri" w:cs="Calibri"/>
          <w:b/>
          <w:bCs/>
          <w:color w:val="2F5496" w:themeColor="accent1" w:themeShade="BF"/>
        </w:rPr>
      </w:pPr>
      <w:hyperlink w:anchor="NO8" w:history="1">
        <w:r w:rsidR="00441557" w:rsidRPr="004801DB">
          <w:rPr>
            <w:rStyle w:val="Hyperlink"/>
            <w:rFonts w:ascii="Calibri" w:hAnsi="Calibri" w:cs="Calibri"/>
            <w:b/>
            <w:bCs/>
            <w:color w:val="2F5496" w:themeColor="accent1" w:themeShade="BF"/>
          </w:rPr>
          <w:t>New: Routine mpox and gonorrhoea vaccination programme to begin summer 2025</w:t>
        </w:r>
      </w:hyperlink>
    </w:p>
    <w:p w14:paraId="54D75BF1" w14:textId="77777777" w:rsidR="00752146" w:rsidRDefault="00752146" w:rsidP="00315167">
      <w:pPr>
        <w:spacing w:after="0"/>
        <w:textAlignment w:val="baseline"/>
        <w:rPr>
          <w:rFonts w:ascii="Calibri" w:hAnsi="Calibri" w:cs="Calibri"/>
          <w:b/>
          <w:bCs/>
          <w:color w:val="2F5496" w:themeColor="accent1" w:themeShade="BF"/>
        </w:rPr>
      </w:pPr>
    </w:p>
    <w:p w14:paraId="3F792BA6" w14:textId="77777777" w:rsidR="00752146" w:rsidRDefault="00752146" w:rsidP="00315167">
      <w:pPr>
        <w:spacing w:after="0"/>
        <w:textAlignment w:val="baseline"/>
        <w:rPr>
          <w:rFonts w:ascii="Calibri" w:hAnsi="Calibri" w:cs="Calibri"/>
          <w:b/>
          <w:bCs/>
          <w:color w:val="2F5496" w:themeColor="accent1" w:themeShade="BF"/>
        </w:rPr>
      </w:pPr>
    </w:p>
    <w:p w14:paraId="71309304" w14:textId="77777777" w:rsidR="00752146" w:rsidRDefault="00752146" w:rsidP="00315167">
      <w:pPr>
        <w:spacing w:after="0"/>
        <w:textAlignment w:val="baseline"/>
        <w:rPr>
          <w:rFonts w:ascii="Calibri" w:hAnsi="Calibri" w:cs="Calibri"/>
          <w:b/>
          <w:bCs/>
          <w:color w:val="2F5496" w:themeColor="accent1" w:themeShade="BF"/>
        </w:rPr>
      </w:pPr>
    </w:p>
    <w:p w14:paraId="5AF8B00D" w14:textId="77777777" w:rsidR="00752146" w:rsidRDefault="00752146" w:rsidP="00315167">
      <w:pPr>
        <w:spacing w:after="0"/>
        <w:textAlignment w:val="baseline"/>
        <w:rPr>
          <w:rFonts w:ascii="Calibri" w:hAnsi="Calibri" w:cs="Calibri"/>
          <w:b/>
          <w:bCs/>
          <w:color w:val="2F5496" w:themeColor="accent1" w:themeShade="BF"/>
        </w:rPr>
      </w:pPr>
    </w:p>
    <w:p w14:paraId="7CAB8790" w14:textId="77777777" w:rsidR="00752146" w:rsidRDefault="00752146" w:rsidP="00315167">
      <w:pPr>
        <w:spacing w:after="0"/>
        <w:textAlignment w:val="baseline"/>
        <w:rPr>
          <w:rFonts w:ascii="Calibri" w:hAnsi="Calibri" w:cs="Calibri"/>
          <w:b/>
          <w:bCs/>
          <w:color w:val="2F5496" w:themeColor="accent1" w:themeShade="BF"/>
        </w:rPr>
      </w:pPr>
    </w:p>
    <w:p w14:paraId="55962CFE" w14:textId="77777777" w:rsidR="00752146" w:rsidRDefault="00752146" w:rsidP="00315167">
      <w:pPr>
        <w:spacing w:after="0"/>
        <w:textAlignment w:val="baseline"/>
        <w:rPr>
          <w:rFonts w:ascii="Calibri" w:hAnsi="Calibri" w:cs="Calibri"/>
          <w:b/>
          <w:bCs/>
          <w:color w:val="2F5496" w:themeColor="accent1" w:themeShade="BF"/>
        </w:rPr>
      </w:pPr>
    </w:p>
    <w:p w14:paraId="74BE6984" w14:textId="77777777" w:rsidR="00752146" w:rsidRDefault="00752146" w:rsidP="00315167">
      <w:pPr>
        <w:spacing w:after="0"/>
        <w:textAlignment w:val="baseline"/>
        <w:rPr>
          <w:rFonts w:ascii="Calibri" w:hAnsi="Calibri" w:cs="Calibri"/>
          <w:b/>
          <w:bCs/>
          <w:color w:val="2F5496" w:themeColor="accent1" w:themeShade="BF"/>
        </w:rPr>
      </w:pPr>
    </w:p>
    <w:p w14:paraId="68E75B4F" w14:textId="77777777" w:rsidR="00752146" w:rsidRDefault="00752146" w:rsidP="00315167">
      <w:pPr>
        <w:spacing w:after="0"/>
        <w:textAlignment w:val="baseline"/>
        <w:rPr>
          <w:rFonts w:ascii="Calibri" w:hAnsi="Calibri" w:cs="Calibri"/>
          <w:b/>
          <w:bCs/>
          <w:color w:val="2F5496" w:themeColor="accent1" w:themeShade="BF"/>
        </w:rPr>
      </w:pPr>
    </w:p>
    <w:p w14:paraId="31535D2C" w14:textId="77777777" w:rsidR="00752146" w:rsidRDefault="00752146" w:rsidP="00315167">
      <w:pPr>
        <w:spacing w:after="0"/>
        <w:textAlignment w:val="baseline"/>
        <w:rPr>
          <w:rFonts w:ascii="Calibri" w:hAnsi="Calibri" w:cs="Calibri"/>
          <w:b/>
          <w:bCs/>
          <w:color w:val="2F5496" w:themeColor="accent1" w:themeShade="BF"/>
        </w:rPr>
      </w:pPr>
    </w:p>
    <w:p w14:paraId="7B8FF44C" w14:textId="77777777" w:rsidR="00752146" w:rsidRDefault="00752146" w:rsidP="00315167">
      <w:pPr>
        <w:spacing w:after="0"/>
        <w:textAlignment w:val="baseline"/>
        <w:rPr>
          <w:rFonts w:ascii="Calibri" w:hAnsi="Calibri" w:cs="Calibri"/>
          <w:b/>
          <w:bCs/>
          <w:color w:val="2F5496" w:themeColor="accent1" w:themeShade="BF"/>
        </w:rPr>
      </w:pPr>
    </w:p>
    <w:p w14:paraId="686EADAF" w14:textId="77777777" w:rsidR="00752146" w:rsidRDefault="00752146" w:rsidP="00315167">
      <w:pPr>
        <w:spacing w:after="0"/>
        <w:textAlignment w:val="baseline"/>
        <w:rPr>
          <w:rFonts w:ascii="Calibri" w:hAnsi="Calibri" w:cs="Calibri"/>
          <w:b/>
          <w:bCs/>
          <w:color w:val="2F5496" w:themeColor="accent1" w:themeShade="BF"/>
        </w:rPr>
      </w:pPr>
    </w:p>
    <w:p w14:paraId="1117DE22" w14:textId="77777777" w:rsidR="00752146" w:rsidRDefault="00752146" w:rsidP="00315167">
      <w:pPr>
        <w:spacing w:after="0"/>
        <w:textAlignment w:val="baseline"/>
        <w:rPr>
          <w:rFonts w:ascii="Calibri" w:hAnsi="Calibri" w:cs="Calibri"/>
          <w:b/>
          <w:bCs/>
          <w:color w:val="2F5496" w:themeColor="accent1" w:themeShade="BF"/>
        </w:rPr>
      </w:pPr>
    </w:p>
    <w:p w14:paraId="43CFC803" w14:textId="77777777" w:rsidR="00752146" w:rsidRDefault="00752146" w:rsidP="00315167">
      <w:pPr>
        <w:spacing w:after="0"/>
        <w:textAlignment w:val="baseline"/>
        <w:rPr>
          <w:rFonts w:ascii="Calibri" w:hAnsi="Calibri" w:cs="Calibri"/>
          <w:b/>
          <w:bCs/>
          <w:color w:val="2F5496" w:themeColor="accent1" w:themeShade="BF"/>
        </w:rPr>
      </w:pPr>
    </w:p>
    <w:p w14:paraId="45192022" w14:textId="77777777" w:rsidR="00752146" w:rsidRDefault="00752146" w:rsidP="00315167">
      <w:pPr>
        <w:spacing w:after="0"/>
        <w:textAlignment w:val="baseline"/>
        <w:rPr>
          <w:rFonts w:ascii="Calibri" w:hAnsi="Calibri" w:cs="Calibri"/>
          <w:b/>
          <w:bCs/>
          <w:color w:val="2F5496" w:themeColor="accent1" w:themeShade="BF"/>
        </w:rPr>
      </w:pPr>
    </w:p>
    <w:p w14:paraId="7C15BC52" w14:textId="77777777" w:rsidR="00752146" w:rsidRDefault="00752146" w:rsidP="00315167">
      <w:pPr>
        <w:spacing w:after="0"/>
        <w:textAlignment w:val="baseline"/>
        <w:rPr>
          <w:rFonts w:ascii="Calibri" w:hAnsi="Calibri" w:cs="Calibri"/>
          <w:b/>
          <w:bCs/>
          <w:color w:val="2F5496" w:themeColor="accent1" w:themeShade="BF"/>
        </w:rPr>
      </w:pPr>
    </w:p>
    <w:p w14:paraId="4A5D77CB" w14:textId="6558C0DA"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1"/>
      <w:r>
        <w:rPr>
          <w:rFonts w:ascii="Calibri" w:hAnsi="Calibri" w:cs="Calibri"/>
          <w:b/>
          <w:bCs/>
          <w:color w:val="000000" w:themeColor="text1"/>
        </w:rPr>
        <w:t>1.</w:t>
      </w:r>
      <w:r w:rsidRPr="00900FD3">
        <w:rPr>
          <w:rFonts w:ascii="Calibri" w:hAnsi="Calibri" w:cs="Calibri"/>
          <w:b/>
          <w:bCs/>
          <w:color w:val="000000" w:themeColor="text1"/>
        </w:rPr>
        <w:t>Inclisiran reimbursement</w:t>
      </w:r>
    </w:p>
    <w:bookmarkEnd w:id="0"/>
    <w:p w14:paraId="19E300F9"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EC97E55"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NHS England is aware of an issue regarding reimbursement for </w:t>
      </w:r>
      <w:proofErr w:type="spellStart"/>
      <w:r w:rsidRPr="00900FD3">
        <w:rPr>
          <w:rFonts w:ascii="Calibri" w:hAnsi="Calibri" w:cs="Calibri"/>
          <w:color w:val="000000" w:themeColor="text1"/>
        </w:rPr>
        <w:t>Inclisiran</w:t>
      </w:r>
      <w:proofErr w:type="spellEnd"/>
      <w:r w:rsidRPr="00900FD3">
        <w:rPr>
          <w:rFonts w:ascii="Calibri" w:hAnsi="Calibri" w:cs="Calibri"/>
          <w:color w:val="000000" w:themeColor="text1"/>
        </w:rPr>
        <w:t>, whereby payments have been delayed. </w:t>
      </w:r>
    </w:p>
    <w:p w14:paraId="1300900C"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NHS England is working with NHSBSA to implement a system change to ensure </w:t>
      </w:r>
      <w:proofErr w:type="spellStart"/>
      <w:r w:rsidRPr="00900FD3">
        <w:rPr>
          <w:rFonts w:ascii="Calibri" w:hAnsi="Calibri" w:cs="Calibri"/>
          <w:color w:val="000000" w:themeColor="text1"/>
        </w:rPr>
        <w:t>Inclisiran</w:t>
      </w:r>
      <w:proofErr w:type="spellEnd"/>
      <w:r w:rsidRPr="00900FD3">
        <w:rPr>
          <w:rFonts w:ascii="Calibri" w:hAnsi="Calibri" w:cs="Calibri"/>
          <w:color w:val="000000" w:themeColor="text1"/>
        </w:rPr>
        <w:t xml:space="preserve"> is reimbursed correctly going forward. In the meantime, NHSBSA are in the process of calculating retrospective adjustments from October 2024 to ensure that any missed payments will be made to contractors via PCSE. The </w:t>
      </w:r>
      <w:proofErr w:type="gramStart"/>
      <w:r w:rsidRPr="00900FD3">
        <w:rPr>
          <w:rFonts w:ascii="Calibri" w:hAnsi="Calibri" w:cs="Calibri"/>
          <w:color w:val="000000" w:themeColor="text1"/>
        </w:rPr>
        <w:t>long term</w:t>
      </w:r>
      <w:proofErr w:type="gramEnd"/>
      <w:r w:rsidRPr="00900FD3">
        <w:rPr>
          <w:rFonts w:ascii="Calibri" w:hAnsi="Calibri" w:cs="Calibri"/>
          <w:color w:val="000000" w:themeColor="text1"/>
        </w:rPr>
        <w:t xml:space="preserve"> solution will be implemented in Spring 2026.</w:t>
      </w:r>
    </w:p>
    <w:p w14:paraId="17A2D7EE" w14:textId="77777777" w:rsidR="00900FD3" w:rsidRPr="00900FD3" w:rsidRDefault="00900FD3" w:rsidP="00900FD3">
      <w:pPr>
        <w:spacing w:after="0"/>
        <w:textAlignment w:val="baseline"/>
        <w:rPr>
          <w:rFonts w:ascii="Calibri" w:hAnsi="Calibri" w:cs="Calibri"/>
          <w:color w:val="000000" w:themeColor="text1"/>
        </w:rPr>
      </w:pPr>
    </w:p>
    <w:p w14:paraId="6EADDEB2" w14:textId="77777777" w:rsidR="00752146" w:rsidRDefault="00752146" w:rsidP="00315167">
      <w:pPr>
        <w:spacing w:after="0"/>
        <w:textAlignment w:val="baseline"/>
        <w:rPr>
          <w:rFonts w:ascii="Calibri" w:hAnsi="Calibri" w:cs="Calibri"/>
          <w:color w:val="000000" w:themeColor="text1"/>
        </w:rPr>
      </w:pPr>
    </w:p>
    <w:p w14:paraId="10112E62" w14:textId="77777777" w:rsidR="00441557" w:rsidRPr="00900FD3" w:rsidRDefault="00441557" w:rsidP="00315167">
      <w:pPr>
        <w:spacing w:after="0"/>
        <w:textAlignment w:val="baseline"/>
        <w:rPr>
          <w:rFonts w:ascii="Calibri" w:hAnsi="Calibri" w:cs="Calibri"/>
          <w:color w:val="000000" w:themeColor="text1"/>
        </w:rPr>
      </w:pPr>
    </w:p>
    <w:p w14:paraId="3CB1F80F" w14:textId="77777777" w:rsidR="00752146" w:rsidRDefault="00752146" w:rsidP="00315167">
      <w:pPr>
        <w:spacing w:after="0"/>
        <w:textAlignment w:val="baseline"/>
        <w:rPr>
          <w:rFonts w:ascii="Calibri" w:hAnsi="Calibri" w:cs="Calibri"/>
          <w:b/>
          <w:bCs/>
          <w:color w:val="2F5496" w:themeColor="accent1" w:themeShade="BF"/>
        </w:rPr>
      </w:pPr>
    </w:p>
    <w:p w14:paraId="76032C00" w14:textId="09AEE9FA"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Pr>
          <w:rFonts w:ascii="Calibri" w:hAnsi="Calibri" w:cs="Calibri"/>
          <w:b/>
          <w:bCs/>
          <w:color w:val="000000" w:themeColor="text1"/>
        </w:rPr>
        <w:t>2.</w:t>
      </w:r>
      <w:r w:rsidRPr="00900FD3">
        <w:rPr>
          <w:rFonts w:ascii="Calibri" w:hAnsi="Calibri" w:cs="Calibri"/>
          <w:b/>
          <w:bCs/>
          <w:color w:val="000000" w:themeColor="text1"/>
        </w:rPr>
        <w:t>GPs in England Premises survey</w:t>
      </w:r>
    </w:p>
    <w:bookmarkEnd w:id="1"/>
    <w:p w14:paraId="0071B919"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72BBF9A7"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Last month GPCE launched the GP Premises Survey 2025, calling on </w:t>
      </w:r>
      <w:r w:rsidRPr="00900FD3">
        <w:rPr>
          <w:rFonts w:ascii="Calibri" w:hAnsi="Calibri" w:cs="Calibri"/>
          <w:b/>
          <w:bCs/>
          <w:color w:val="000000" w:themeColor="text1"/>
        </w:rPr>
        <w:t xml:space="preserve">all practice managers and partners across England </w:t>
      </w:r>
      <w:r w:rsidRPr="00900FD3">
        <w:rPr>
          <w:rFonts w:ascii="Calibri" w:hAnsi="Calibri" w:cs="Calibri"/>
          <w:color w:val="000000" w:themeColor="text1"/>
        </w:rPr>
        <w:t xml:space="preserve">to take part. </w:t>
      </w:r>
    </w:p>
    <w:p w14:paraId="30656D09"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E14C55E"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900FD3">
        <w:rPr>
          <w:rFonts w:ascii="Calibri" w:hAnsi="Calibri" w:cs="Calibri"/>
          <w:color w:val="000000" w:themeColor="text1"/>
        </w:rPr>
        <w:t xml:space="preserve">Please help GPCE advocate for better premises and stronger support for general practice. If you have not already completed the </w:t>
      </w:r>
      <w:proofErr w:type="gramStart"/>
      <w:r w:rsidRPr="00900FD3">
        <w:rPr>
          <w:rFonts w:ascii="Calibri" w:hAnsi="Calibri" w:cs="Calibri"/>
          <w:color w:val="000000" w:themeColor="text1"/>
        </w:rPr>
        <w:t>survey</w:t>
      </w:r>
      <w:proofErr w:type="gramEnd"/>
      <w:r w:rsidRPr="00900FD3">
        <w:rPr>
          <w:rFonts w:ascii="Calibri" w:hAnsi="Calibri" w:cs="Calibri"/>
          <w:color w:val="000000" w:themeColor="text1"/>
        </w:rPr>
        <w:t xml:space="preserve"> please do so now and make your voice count: </w:t>
      </w:r>
      <w:hyperlink r:id="rId11" w:history="1">
        <w:r w:rsidRPr="00900FD3">
          <w:rPr>
            <w:rStyle w:val="Hyperlink"/>
            <w:rFonts w:ascii="Calibri" w:hAnsi="Calibri" w:cs="Calibri"/>
          </w:rPr>
          <w:t>take the survey today</w:t>
        </w:r>
      </w:hyperlink>
      <w:r w:rsidRPr="00900FD3">
        <w:rPr>
          <w:rFonts w:ascii="Calibri" w:hAnsi="Calibri" w:cs="Calibri"/>
          <w:b/>
          <w:bCs/>
          <w:color w:val="000000" w:themeColor="text1"/>
        </w:rPr>
        <w:t xml:space="preserve">. </w:t>
      </w:r>
    </w:p>
    <w:p w14:paraId="3DE46B7C"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EFC40B2"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Watch this </w:t>
      </w:r>
      <w:hyperlink r:id="rId12" w:history="1">
        <w:r w:rsidRPr="00900FD3">
          <w:rPr>
            <w:rStyle w:val="Hyperlink"/>
            <w:rFonts w:ascii="Calibri" w:hAnsi="Calibri" w:cs="Calibri"/>
          </w:rPr>
          <w:t xml:space="preserve">short video </w:t>
        </w:r>
      </w:hyperlink>
      <w:r w:rsidRPr="00900FD3">
        <w:rPr>
          <w:rFonts w:ascii="Calibri" w:hAnsi="Calibri" w:cs="Calibri"/>
          <w:color w:val="000000" w:themeColor="text1"/>
        </w:rPr>
        <w:t xml:space="preserve"> with GPCE Premises Policy Lead Gaurav Gupta speaking on the importance of supporting this survey: </w:t>
      </w:r>
    </w:p>
    <w:p w14:paraId="2E4AE5E6"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A627E80"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i/>
          <w:iCs/>
          <w:color w:val="000000" w:themeColor="text1"/>
        </w:rPr>
      </w:pPr>
      <w:r w:rsidRPr="00900FD3">
        <w:rPr>
          <w:rFonts w:ascii="Calibri" w:hAnsi="Calibri" w:cs="Calibri"/>
          <w:i/>
          <w:iCs/>
          <w:color w:val="000000" w:themeColor="text1"/>
        </w:rPr>
        <w:t>“Your insights are vital. By completing the survey, you’ll help GPC gather essential data on the condition of GP buildings. This evidence will directly shape their strategy and negotiations with Government – supporting their case for getting the urgent investment and support your practices need.</w:t>
      </w:r>
    </w:p>
    <w:p w14:paraId="7F9BB516"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i/>
          <w:iCs/>
          <w:color w:val="000000" w:themeColor="text1"/>
        </w:rPr>
      </w:pPr>
    </w:p>
    <w:p w14:paraId="137EFCDD"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i/>
          <w:iCs/>
          <w:color w:val="000000" w:themeColor="text1"/>
        </w:rPr>
      </w:pPr>
      <w:r w:rsidRPr="00900FD3">
        <w:rPr>
          <w:rFonts w:ascii="Calibri" w:hAnsi="Calibri" w:cs="Calibri"/>
          <w:i/>
          <w:iCs/>
          <w:color w:val="000000" w:themeColor="text1"/>
        </w:rPr>
        <w:t>Even if you're unsure about some details, please don’t hesitate to complete the survey. Simply select 'don't know' where needed – every response, even partial ones, contributes to building a clearer national picture.”</w:t>
      </w:r>
    </w:p>
    <w:p w14:paraId="09B7651C"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i/>
          <w:iCs/>
          <w:color w:val="000000" w:themeColor="text1"/>
        </w:rPr>
      </w:pPr>
    </w:p>
    <w:p w14:paraId="5BAE86D6" w14:textId="77777777"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GPCE have had a great response rate to date but want to ensure as many </w:t>
      </w:r>
      <w:proofErr w:type="gramStart"/>
      <w:r w:rsidRPr="00900FD3">
        <w:rPr>
          <w:rFonts w:ascii="Calibri" w:hAnsi="Calibri" w:cs="Calibri"/>
          <w:color w:val="000000" w:themeColor="text1"/>
        </w:rPr>
        <w:t>practices</w:t>
      </w:r>
      <w:proofErr w:type="gramEnd"/>
      <w:r w:rsidRPr="00900FD3">
        <w:rPr>
          <w:rFonts w:ascii="Calibri" w:hAnsi="Calibri" w:cs="Calibri"/>
          <w:color w:val="000000" w:themeColor="text1"/>
        </w:rPr>
        <w:t xml:space="preserve"> and partners across England take part. Please feel free to share this e-mail with the relevant links; we have also included the QR code below for ease. </w:t>
      </w:r>
    </w:p>
    <w:p w14:paraId="36A1EDBA" w14:textId="77777777"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E99A65B" w14:textId="65B2B511"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noProof/>
        </w:rPr>
        <w:drawing>
          <wp:inline distT="0" distB="0" distL="0" distR="0" wp14:anchorId="5DAB676D" wp14:editId="46AD6D18">
            <wp:extent cx="1798320" cy="1805940"/>
            <wp:effectExtent l="0" t="0" r="11430" b="3810"/>
            <wp:docPr id="1916596690" name="Picture 2" descr="A qr code with a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96690" name="Picture 2" descr="A qr code with a black border&#10;&#10;AI-generated content may be incorrect."/>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798320" cy="1805940"/>
                    </a:xfrm>
                    <a:prstGeom prst="rect">
                      <a:avLst/>
                    </a:prstGeom>
                    <a:noFill/>
                    <a:ln>
                      <a:noFill/>
                    </a:ln>
                  </pic:spPr>
                </pic:pic>
              </a:graphicData>
            </a:graphic>
          </wp:inline>
        </w:drawing>
      </w:r>
    </w:p>
    <w:p w14:paraId="1132A2A8"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8CAEDC6" w14:textId="77777777" w:rsidR="00752146" w:rsidRPr="00900FD3" w:rsidRDefault="00752146" w:rsidP="00315167">
      <w:pPr>
        <w:spacing w:after="0"/>
        <w:textAlignment w:val="baseline"/>
        <w:rPr>
          <w:rFonts w:ascii="Calibri" w:hAnsi="Calibri" w:cs="Calibri"/>
          <w:color w:val="000000" w:themeColor="text1"/>
        </w:rPr>
      </w:pPr>
    </w:p>
    <w:p w14:paraId="02AAF422" w14:textId="77777777" w:rsidR="00752146" w:rsidRDefault="00752146" w:rsidP="00315167">
      <w:pPr>
        <w:spacing w:after="0"/>
        <w:textAlignment w:val="baseline"/>
        <w:rPr>
          <w:rFonts w:ascii="Calibri" w:hAnsi="Calibri" w:cs="Calibri"/>
          <w:b/>
          <w:bCs/>
          <w:color w:val="2F5496" w:themeColor="accent1" w:themeShade="BF"/>
        </w:rPr>
      </w:pPr>
    </w:p>
    <w:p w14:paraId="6F25C98F" w14:textId="77777777" w:rsidR="00752146" w:rsidRDefault="00752146" w:rsidP="00315167">
      <w:pPr>
        <w:spacing w:after="0"/>
        <w:textAlignment w:val="baseline"/>
        <w:rPr>
          <w:rFonts w:ascii="Calibri" w:hAnsi="Calibri" w:cs="Calibri"/>
          <w:b/>
          <w:bCs/>
          <w:color w:val="2F5496" w:themeColor="accent1" w:themeShade="BF"/>
        </w:rPr>
      </w:pPr>
    </w:p>
    <w:p w14:paraId="30FBD351" w14:textId="77777777" w:rsidR="00752146" w:rsidRDefault="00752146" w:rsidP="00315167">
      <w:pPr>
        <w:spacing w:after="0"/>
        <w:textAlignment w:val="baseline"/>
        <w:rPr>
          <w:rFonts w:ascii="Calibri" w:hAnsi="Calibri" w:cs="Calibri"/>
          <w:b/>
          <w:bCs/>
          <w:color w:val="2F5496" w:themeColor="accent1" w:themeShade="BF"/>
        </w:rPr>
      </w:pPr>
    </w:p>
    <w:p w14:paraId="74C00750" w14:textId="77777777" w:rsidR="00752146" w:rsidRDefault="00752146" w:rsidP="00315167">
      <w:pPr>
        <w:spacing w:after="0"/>
        <w:textAlignment w:val="baseline"/>
        <w:rPr>
          <w:rFonts w:ascii="Calibri" w:hAnsi="Calibri" w:cs="Calibri"/>
          <w:b/>
          <w:bCs/>
          <w:color w:val="2F5496" w:themeColor="accent1" w:themeShade="BF"/>
        </w:rPr>
      </w:pPr>
    </w:p>
    <w:p w14:paraId="52028684" w14:textId="77777777" w:rsidR="00752146" w:rsidRDefault="00752146" w:rsidP="00315167">
      <w:pPr>
        <w:spacing w:after="0"/>
        <w:textAlignment w:val="baseline"/>
        <w:rPr>
          <w:rFonts w:ascii="Calibri" w:hAnsi="Calibri" w:cs="Calibri"/>
          <w:b/>
          <w:bCs/>
          <w:color w:val="2F5496" w:themeColor="accent1" w:themeShade="BF"/>
        </w:rPr>
      </w:pPr>
    </w:p>
    <w:p w14:paraId="08F48F00" w14:textId="77777777" w:rsidR="00752146" w:rsidRDefault="00752146" w:rsidP="00315167">
      <w:pPr>
        <w:spacing w:after="0"/>
        <w:textAlignment w:val="baseline"/>
        <w:rPr>
          <w:rFonts w:ascii="Calibri" w:hAnsi="Calibri" w:cs="Calibri"/>
          <w:b/>
          <w:bCs/>
          <w:color w:val="2F5496" w:themeColor="accent1" w:themeShade="BF"/>
        </w:rPr>
      </w:pPr>
    </w:p>
    <w:p w14:paraId="3DE0C7E9" w14:textId="77777777" w:rsidR="00752146" w:rsidRDefault="00752146" w:rsidP="00315167">
      <w:pPr>
        <w:spacing w:after="0"/>
        <w:textAlignment w:val="baseline"/>
        <w:rPr>
          <w:rFonts w:ascii="Calibri" w:hAnsi="Calibri" w:cs="Calibri"/>
          <w:b/>
          <w:bCs/>
          <w:color w:val="2F5496" w:themeColor="accent1" w:themeShade="BF"/>
        </w:rPr>
      </w:pPr>
    </w:p>
    <w:p w14:paraId="125DCC37" w14:textId="77777777" w:rsidR="00752146" w:rsidRDefault="00752146" w:rsidP="00315167">
      <w:pPr>
        <w:spacing w:after="0"/>
        <w:textAlignment w:val="baseline"/>
        <w:rPr>
          <w:rFonts w:ascii="Calibri" w:hAnsi="Calibri" w:cs="Calibri"/>
          <w:b/>
          <w:bCs/>
          <w:color w:val="2F5496" w:themeColor="accent1" w:themeShade="BF"/>
        </w:rPr>
      </w:pPr>
      <w:bookmarkStart w:id="2" w:name="NO3"/>
    </w:p>
    <w:p w14:paraId="0C991648" w14:textId="7A358D3C"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3.</w:t>
      </w:r>
      <w:r w:rsidRPr="00900FD3">
        <w:rPr>
          <w:rFonts w:ascii="Calibri" w:hAnsi="Calibri" w:cs="Calibri"/>
          <w:b/>
          <w:bCs/>
          <w:color w:val="000000" w:themeColor="text1"/>
        </w:rPr>
        <w:t>OpenSAFELY Data Provision Notice</w:t>
      </w:r>
    </w:p>
    <w:bookmarkEnd w:id="2"/>
    <w:p w14:paraId="64EE77D0"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67F88F7C"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900FD3">
        <w:rPr>
          <w:rFonts w:ascii="Calibri" w:hAnsi="Calibri" w:cs="Calibri"/>
          <w:b/>
          <w:bCs/>
          <w:color w:val="000000" w:themeColor="text1"/>
        </w:rPr>
        <w:t xml:space="preserve">The LMC have received the below update from GPC and share with all practices for information. </w:t>
      </w:r>
    </w:p>
    <w:p w14:paraId="45A58541"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We're expecting the Data Provision Notice (DPN) for </w:t>
      </w:r>
      <w:proofErr w:type="spellStart"/>
      <w:r w:rsidRPr="00900FD3">
        <w:rPr>
          <w:rFonts w:ascii="Calibri" w:hAnsi="Calibri" w:cs="Calibri"/>
          <w:color w:val="000000" w:themeColor="text1"/>
        </w:rPr>
        <w:t>OpenSAFELY</w:t>
      </w:r>
      <w:proofErr w:type="spellEnd"/>
      <w:r w:rsidRPr="00900FD3">
        <w:rPr>
          <w:rFonts w:ascii="Calibri" w:hAnsi="Calibri" w:cs="Calibri"/>
          <w:color w:val="000000" w:themeColor="text1"/>
        </w:rPr>
        <w:t xml:space="preserve"> to allow expansion to non-COVID-19 analyses to arrive later today (22/7/25). This will be sent to practices using EMIS Web (Optum) and </w:t>
      </w:r>
      <w:proofErr w:type="spellStart"/>
      <w:r w:rsidRPr="00900FD3">
        <w:rPr>
          <w:rFonts w:ascii="Calibri" w:hAnsi="Calibri" w:cs="Calibri"/>
          <w:color w:val="000000" w:themeColor="text1"/>
        </w:rPr>
        <w:t>SystmOne</w:t>
      </w:r>
      <w:proofErr w:type="spellEnd"/>
      <w:r w:rsidRPr="00900FD3">
        <w:rPr>
          <w:rFonts w:ascii="Calibri" w:hAnsi="Calibri" w:cs="Calibri"/>
          <w:color w:val="000000" w:themeColor="text1"/>
        </w:rPr>
        <w:t xml:space="preserve"> (TPP) in England. Medicus is out of scope currently.</w:t>
      </w:r>
    </w:p>
    <w:p w14:paraId="79F5D617"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7233B7F"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The software to allow an opt-in function for EMIS rolled out this week. The functionality for </w:t>
      </w:r>
      <w:proofErr w:type="spellStart"/>
      <w:r w:rsidRPr="00900FD3">
        <w:rPr>
          <w:rFonts w:ascii="Calibri" w:hAnsi="Calibri" w:cs="Calibri"/>
          <w:color w:val="000000" w:themeColor="text1"/>
        </w:rPr>
        <w:t>SystmOne</w:t>
      </w:r>
      <w:proofErr w:type="spellEnd"/>
      <w:r w:rsidRPr="00900FD3">
        <w:rPr>
          <w:rFonts w:ascii="Calibri" w:hAnsi="Calibri" w:cs="Calibri"/>
          <w:color w:val="000000" w:themeColor="text1"/>
        </w:rPr>
        <w:t xml:space="preserve"> is already there. Hopefully the instructions that come through in due course from NHS England will be self-explanatory.</w:t>
      </w:r>
    </w:p>
    <w:p w14:paraId="4DAE5CD0"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52B840F"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sidRPr="00900FD3">
        <w:rPr>
          <w:rFonts w:ascii="Calibri" w:hAnsi="Calibri" w:cs="Calibri"/>
          <w:color w:val="000000" w:themeColor="text1"/>
        </w:rPr>
        <w:t>OpenSAFELY</w:t>
      </w:r>
      <w:proofErr w:type="spellEnd"/>
      <w:r w:rsidRPr="00900FD3">
        <w:rPr>
          <w:rFonts w:ascii="Calibri" w:hAnsi="Calibri" w:cs="Calibri"/>
          <w:color w:val="000000" w:themeColor="text1"/>
        </w:rPr>
        <w:t xml:space="preserve"> has the full support of the BMA and RCGP. The original COVID-19 service grew out of the pandemic and was unique in the sense that it functioned as a Trusted Research Environment where the most disclosive data (the GP data) stayed in the system suppliers' systems, with the GP remaining as data controller, but, via the Data Direction/DPN in force, made those data available for querying by NHS England, with the subsequent outputs coming under the controllership of NHS England. There is a level of transparency with </w:t>
      </w:r>
      <w:proofErr w:type="spellStart"/>
      <w:r w:rsidRPr="00900FD3">
        <w:rPr>
          <w:rFonts w:ascii="Calibri" w:hAnsi="Calibri" w:cs="Calibri"/>
          <w:color w:val="000000" w:themeColor="text1"/>
        </w:rPr>
        <w:t>OpenSAFELY</w:t>
      </w:r>
      <w:proofErr w:type="spellEnd"/>
      <w:r w:rsidRPr="00900FD3">
        <w:rPr>
          <w:rFonts w:ascii="Calibri" w:hAnsi="Calibri" w:cs="Calibri"/>
          <w:color w:val="000000" w:themeColor="text1"/>
        </w:rPr>
        <w:t xml:space="preserve"> not seen elsewhere, one of the reasons it has so much support.</w:t>
      </w:r>
    </w:p>
    <w:p w14:paraId="61760DE3"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8FFA086"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Please note practices </w:t>
      </w:r>
      <w:proofErr w:type="gramStart"/>
      <w:r w:rsidRPr="00900FD3">
        <w:rPr>
          <w:rFonts w:ascii="Calibri" w:hAnsi="Calibri" w:cs="Calibri"/>
          <w:color w:val="000000" w:themeColor="text1"/>
        </w:rPr>
        <w:t>have to</w:t>
      </w:r>
      <w:proofErr w:type="gramEnd"/>
      <w:r w:rsidRPr="00900FD3">
        <w:rPr>
          <w:rFonts w:ascii="Calibri" w:hAnsi="Calibri" w:cs="Calibri"/>
          <w:color w:val="000000" w:themeColor="text1"/>
        </w:rPr>
        <w:t xml:space="preserve"> comply with the Data Provision Notice by law, however the data will not be able to be accessed until the data controller has signalled approval.</w:t>
      </w:r>
    </w:p>
    <w:p w14:paraId="6EC67BE5" w14:textId="77777777" w:rsidR="00752146" w:rsidRPr="00900FD3" w:rsidRDefault="00752146" w:rsidP="00315167">
      <w:pPr>
        <w:spacing w:after="0"/>
        <w:textAlignment w:val="baseline"/>
        <w:rPr>
          <w:rFonts w:ascii="Calibri" w:hAnsi="Calibri" w:cs="Calibri"/>
          <w:color w:val="000000" w:themeColor="text1"/>
        </w:rPr>
      </w:pPr>
    </w:p>
    <w:p w14:paraId="46F84B75" w14:textId="77777777" w:rsidR="00752146" w:rsidRDefault="00752146" w:rsidP="00315167">
      <w:pPr>
        <w:spacing w:after="0"/>
        <w:textAlignment w:val="baseline"/>
        <w:rPr>
          <w:rFonts w:ascii="Calibri" w:hAnsi="Calibri" w:cs="Calibri"/>
          <w:b/>
          <w:bCs/>
          <w:color w:val="2F5496" w:themeColor="accent1" w:themeShade="BF"/>
        </w:rPr>
      </w:pPr>
    </w:p>
    <w:p w14:paraId="76ADCB5E" w14:textId="77777777" w:rsidR="00752146" w:rsidRDefault="00752146" w:rsidP="00315167">
      <w:pPr>
        <w:spacing w:after="0"/>
        <w:textAlignment w:val="baseline"/>
        <w:rPr>
          <w:rFonts w:ascii="Calibri" w:hAnsi="Calibri" w:cs="Calibri"/>
          <w:b/>
          <w:bCs/>
          <w:color w:val="2F5496" w:themeColor="accent1" w:themeShade="BF"/>
        </w:rPr>
      </w:pPr>
      <w:bookmarkStart w:id="3" w:name="NO4"/>
    </w:p>
    <w:p w14:paraId="4A578B95" w14:textId="0170FCE0"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4.</w:t>
      </w:r>
      <w:r w:rsidRPr="00900FD3">
        <w:rPr>
          <w:rFonts w:ascii="Calibri" w:hAnsi="Calibri" w:cs="Calibri"/>
          <w:b/>
          <w:bCs/>
          <w:color w:val="000000" w:themeColor="text1"/>
        </w:rPr>
        <w:t>Independent review of the physician associate and anaesthesia associate roles: final report</w:t>
      </w:r>
      <w:bookmarkEnd w:id="3"/>
    </w:p>
    <w:p w14:paraId="660D2CF0"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B92B6C9" w14:textId="77777777"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Led by Professor Gillian Leng, the </w:t>
      </w:r>
      <w:hyperlink r:id="rId15" w:history="1">
        <w:r w:rsidRPr="00900FD3">
          <w:rPr>
            <w:rStyle w:val="Hyperlink"/>
            <w:rFonts w:ascii="Calibri" w:hAnsi="Calibri" w:cs="Calibri"/>
          </w:rPr>
          <w:t>independent review</w:t>
        </w:r>
      </w:hyperlink>
      <w:r w:rsidRPr="00900FD3">
        <w:rPr>
          <w:rFonts w:ascii="Calibri" w:hAnsi="Calibri" w:cs="Calibri"/>
          <w:color w:val="000000" w:themeColor="text1"/>
        </w:rPr>
        <w:t xml:space="preserve"> considers the safety and effectiveness of physician associate (PAs) and anaesthesia associate (AAs) roles in the NHS. </w:t>
      </w:r>
    </w:p>
    <w:p w14:paraId="6DF8B9C8"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67B06D2" w14:textId="77777777"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NHS England welcomes the review, and has </w:t>
      </w:r>
      <w:hyperlink r:id="rId16" w:history="1">
        <w:r w:rsidRPr="00900FD3">
          <w:rPr>
            <w:rStyle w:val="Hyperlink"/>
            <w:rFonts w:ascii="Calibri" w:hAnsi="Calibri" w:cs="Calibri"/>
          </w:rPr>
          <w:t>written</w:t>
        </w:r>
      </w:hyperlink>
      <w:r w:rsidRPr="00900FD3">
        <w:rPr>
          <w:rFonts w:ascii="Calibri" w:hAnsi="Calibri" w:cs="Calibri"/>
          <w:color w:val="000000" w:themeColor="text1"/>
        </w:rPr>
        <w:t xml:space="preserve"> to organisations employing PAs and AAs setting out immediate steps that need implementing in response.</w:t>
      </w:r>
    </w:p>
    <w:p w14:paraId="5A41850D"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8C1A346" w14:textId="77777777"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The report may create </w:t>
      </w:r>
      <w:proofErr w:type="gramStart"/>
      <w:r w:rsidRPr="00900FD3">
        <w:rPr>
          <w:rFonts w:ascii="Calibri" w:hAnsi="Calibri" w:cs="Calibri"/>
          <w:color w:val="000000" w:themeColor="text1"/>
        </w:rPr>
        <w:t>uncertainty</w:t>
      </w:r>
      <w:proofErr w:type="gramEnd"/>
      <w:r w:rsidRPr="00900FD3">
        <w:rPr>
          <w:rFonts w:ascii="Calibri" w:hAnsi="Calibri" w:cs="Calibri"/>
          <w:color w:val="000000" w:themeColor="text1"/>
        </w:rPr>
        <w:t xml:space="preserve"> and employers are expected to continue to support affected staff members. A</w:t>
      </w:r>
      <w:hyperlink r:id="rId17" w:history="1">
        <w:r w:rsidRPr="00900FD3">
          <w:rPr>
            <w:rStyle w:val="Hyperlink"/>
            <w:rFonts w:ascii="Calibri" w:hAnsi="Calibri" w:cs="Calibri"/>
          </w:rPr>
          <w:t xml:space="preserve"> letter has been sent to PAs and AAs</w:t>
        </w:r>
      </w:hyperlink>
      <w:r w:rsidRPr="00900FD3">
        <w:rPr>
          <w:rFonts w:ascii="Calibri" w:hAnsi="Calibri" w:cs="Calibri"/>
          <w:color w:val="000000" w:themeColor="text1"/>
        </w:rPr>
        <w:t xml:space="preserve"> and colleagues are asked to support in ensuring this reaches them.</w:t>
      </w:r>
    </w:p>
    <w:p w14:paraId="199AECEB"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7A16701"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The NHS is reliant on a multidisciplinary workforce to provide high quality care for patients, and PAs and AAs play a vital and valuable role within the health service. Over the next weeks and months NHS England will work with trusts, primary care providers, government, and partners to implement the recommendations of the review to integrate these roles in a safe and effective manner, supporting colleagues and planning for the future of healthcare delivery. </w:t>
      </w:r>
    </w:p>
    <w:p w14:paraId="6B6ED0AE" w14:textId="77777777" w:rsidR="00752146" w:rsidRPr="00900FD3" w:rsidRDefault="00752146" w:rsidP="00315167">
      <w:pPr>
        <w:spacing w:after="0"/>
        <w:textAlignment w:val="baseline"/>
        <w:rPr>
          <w:rFonts w:ascii="Calibri" w:hAnsi="Calibri" w:cs="Calibri"/>
          <w:color w:val="000000" w:themeColor="text1"/>
        </w:rPr>
      </w:pPr>
    </w:p>
    <w:p w14:paraId="1AC6B878" w14:textId="77777777" w:rsidR="00752146" w:rsidRDefault="00752146" w:rsidP="00315167">
      <w:pPr>
        <w:spacing w:after="0"/>
        <w:textAlignment w:val="baseline"/>
        <w:rPr>
          <w:rFonts w:ascii="Calibri" w:hAnsi="Calibri" w:cs="Calibri"/>
          <w:b/>
          <w:bCs/>
          <w:color w:val="2F5496" w:themeColor="accent1" w:themeShade="BF"/>
        </w:rPr>
      </w:pPr>
    </w:p>
    <w:p w14:paraId="2205A05A" w14:textId="77777777" w:rsidR="00EC41AA" w:rsidRDefault="00EC41AA" w:rsidP="00315167">
      <w:pPr>
        <w:spacing w:after="0"/>
        <w:textAlignment w:val="baseline"/>
        <w:rPr>
          <w:rFonts w:ascii="Calibri" w:hAnsi="Calibri" w:cs="Calibri"/>
          <w:b/>
          <w:bCs/>
          <w:color w:val="2F5496" w:themeColor="accent1" w:themeShade="BF"/>
        </w:rPr>
      </w:pPr>
    </w:p>
    <w:p w14:paraId="0624B9B1" w14:textId="77777777" w:rsidR="00752146" w:rsidRDefault="00752146" w:rsidP="00315167">
      <w:pPr>
        <w:spacing w:after="0"/>
        <w:textAlignment w:val="baseline"/>
        <w:rPr>
          <w:rFonts w:ascii="Calibri" w:hAnsi="Calibri" w:cs="Calibri"/>
          <w:b/>
          <w:bCs/>
          <w:color w:val="2F5496" w:themeColor="accent1" w:themeShade="BF"/>
        </w:rPr>
      </w:pPr>
    </w:p>
    <w:p w14:paraId="3F818E87" w14:textId="77777777" w:rsidR="00752146" w:rsidRDefault="00752146" w:rsidP="00315167">
      <w:pPr>
        <w:spacing w:after="0"/>
        <w:textAlignment w:val="baseline"/>
        <w:rPr>
          <w:rFonts w:ascii="Calibri" w:hAnsi="Calibri" w:cs="Calibri"/>
          <w:b/>
          <w:bCs/>
          <w:color w:val="2F5496" w:themeColor="accent1" w:themeShade="BF"/>
        </w:rPr>
      </w:pPr>
    </w:p>
    <w:p w14:paraId="4C7C7D95" w14:textId="0766C8E4"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bookmarkStart w:id="4" w:name="NO5"/>
      <w:r>
        <w:rPr>
          <w:rFonts w:ascii="Calibri" w:hAnsi="Calibri" w:cs="Calibri"/>
          <w:b/>
          <w:bCs/>
          <w:color w:val="000000" w:themeColor="text1"/>
        </w:rPr>
        <w:t>5.</w:t>
      </w:r>
      <w:r w:rsidRPr="00900FD3">
        <w:rPr>
          <w:rFonts w:ascii="Calibri" w:hAnsi="Calibri" w:cs="Calibri"/>
          <w:b/>
          <w:bCs/>
          <w:color w:val="000000" w:themeColor="text1"/>
        </w:rPr>
        <w:t>ARRS maximum reimbursement rates updated and backdated</w:t>
      </w:r>
    </w:p>
    <w:bookmarkEnd w:id="4"/>
    <w:p w14:paraId="59852EF9" w14:textId="77777777"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EEA8FB3" w14:textId="0D3586E8"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Following agreement by the Department of Health and Social Care and NHS England to apply the Agenda for Change and DDRB pay increases from 1 April 25, the ARRS maximum reimbursement rates for all staff groups will be updated on the portal on 1 August 25. All claims submitted after that date will reflect the new rates.</w:t>
      </w:r>
    </w:p>
    <w:p w14:paraId="537023FF"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797A64F" w14:textId="77777777" w:rsid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As the uplifts are backdated, PCNs should pass on the extra pay to all staff employed through the ARRS scheme between April-July 2025. A message has been shared with ICBs for cascading to PCNs that sets out the process for receiving reimbursements for the backdated uplifts.</w:t>
      </w:r>
    </w:p>
    <w:p w14:paraId="7BF9B8F6" w14:textId="77777777" w:rsidR="00900FD3"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41E0D3F" w14:textId="60720C31" w:rsidR="00752146" w:rsidRPr="00900FD3" w:rsidRDefault="00900FD3" w:rsidP="00900FD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00FD3">
        <w:rPr>
          <w:rFonts w:ascii="Calibri" w:hAnsi="Calibri" w:cs="Calibri"/>
          <w:color w:val="000000" w:themeColor="text1"/>
        </w:rPr>
        <w:t xml:space="preserve">PCNs should continue to submit claims reflecting the current, pre-uplifted maximum reimbursement rates for July. The ARRS claims portal will be taken offline on Tuesday 29 July and relaunched on 1 August. For specific queries or further clarification, please contact </w:t>
      </w:r>
      <w:hyperlink r:id="rId18" w:history="1">
        <w:r w:rsidRPr="00900FD3">
          <w:rPr>
            <w:rStyle w:val="Hyperlink"/>
            <w:rFonts w:ascii="Calibri" w:hAnsi="Calibri" w:cs="Calibri"/>
          </w:rPr>
          <w:t>england.gpcontracts@nhs.net</w:t>
        </w:r>
      </w:hyperlink>
      <w:r w:rsidRPr="00900FD3">
        <w:rPr>
          <w:rFonts w:ascii="Calibri" w:hAnsi="Calibri" w:cs="Calibri"/>
          <w:color w:val="000000" w:themeColor="text1"/>
        </w:rPr>
        <w:t>.</w:t>
      </w:r>
    </w:p>
    <w:p w14:paraId="30BF191D" w14:textId="77777777" w:rsidR="00752146" w:rsidRDefault="00752146" w:rsidP="00315167">
      <w:pPr>
        <w:spacing w:after="0"/>
        <w:textAlignment w:val="baseline"/>
        <w:rPr>
          <w:rFonts w:ascii="Calibri" w:hAnsi="Calibri" w:cs="Calibri"/>
          <w:b/>
          <w:bCs/>
          <w:color w:val="2F5496" w:themeColor="accent1" w:themeShade="BF"/>
        </w:rPr>
      </w:pPr>
    </w:p>
    <w:p w14:paraId="7CF045F4" w14:textId="77777777" w:rsidR="00752146" w:rsidRDefault="00752146" w:rsidP="00315167">
      <w:pPr>
        <w:spacing w:after="0"/>
        <w:textAlignment w:val="baseline"/>
        <w:rPr>
          <w:rFonts w:ascii="Calibri" w:hAnsi="Calibri" w:cs="Calibri"/>
          <w:b/>
          <w:bCs/>
          <w:color w:val="2F5496" w:themeColor="accent1" w:themeShade="BF"/>
        </w:rPr>
      </w:pPr>
    </w:p>
    <w:p w14:paraId="4D879441" w14:textId="77777777" w:rsidR="00752146" w:rsidRDefault="00752146" w:rsidP="00315167">
      <w:pPr>
        <w:spacing w:after="0"/>
        <w:textAlignment w:val="baseline"/>
        <w:rPr>
          <w:rFonts w:ascii="Calibri" w:hAnsi="Calibri" w:cs="Calibri"/>
          <w:b/>
          <w:bCs/>
          <w:color w:val="2F5496" w:themeColor="accent1" w:themeShade="BF"/>
        </w:rPr>
      </w:pPr>
      <w:bookmarkStart w:id="5" w:name="NO6"/>
    </w:p>
    <w:p w14:paraId="2EFFE717" w14:textId="721CB68A" w:rsidR="00B01C0C" w:rsidRPr="00B01C0C" w:rsidRDefault="00B01C0C" w:rsidP="00B01C0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b/>
          <w:bCs/>
          <w:color w:val="000000" w:themeColor="text1"/>
        </w:rPr>
        <w:t>6.</w:t>
      </w:r>
      <w:r w:rsidRPr="00B01C0C">
        <w:rPr>
          <w:rFonts w:ascii="Calibri" w:hAnsi="Calibri" w:cs="Calibri"/>
          <w:b/>
          <w:bCs/>
          <w:color w:val="000000" w:themeColor="text1"/>
        </w:rPr>
        <w:t>Oberthur middleware – action required from IT support teams</w:t>
      </w:r>
    </w:p>
    <w:bookmarkEnd w:id="5"/>
    <w:p w14:paraId="09BFA041" w14:textId="77777777" w:rsidR="00B01C0C" w:rsidRDefault="00B01C0C" w:rsidP="00B01C0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A5122F7" w14:textId="5293C37E" w:rsidR="00B01C0C" w:rsidRPr="00B01C0C" w:rsidRDefault="00B01C0C" w:rsidP="00B01C0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01C0C">
        <w:rPr>
          <w:rFonts w:ascii="Calibri" w:hAnsi="Calibri" w:cs="Calibri"/>
          <w:color w:val="000000" w:themeColor="text1"/>
        </w:rPr>
        <w:t xml:space="preserve">Teams must install the </w:t>
      </w:r>
      <w:proofErr w:type="spellStart"/>
      <w:r w:rsidRPr="00B01C0C">
        <w:rPr>
          <w:rFonts w:ascii="Calibri" w:hAnsi="Calibri" w:cs="Calibri"/>
          <w:color w:val="000000" w:themeColor="text1"/>
        </w:rPr>
        <w:t>Oberthur</w:t>
      </w:r>
      <w:proofErr w:type="spellEnd"/>
      <w:r w:rsidRPr="00B01C0C">
        <w:rPr>
          <w:rFonts w:ascii="Calibri" w:hAnsi="Calibri" w:cs="Calibri"/>
          <w:color w:val="000000" w:themeColor="text1"/>
        </w:rPr>
        <w:t xml:space="preserve"> middleware on their devices as soon as possible to ensure the continued use of Electronic Prescription Signing. Without this update, electronic prescription signing functionality will be lost when GP system suppliers implement upcoming security changes.</w:t>
      </w:r>
    </w:p>
    <w:p w14:paraId="2FDBE9AB" w14:textId="05B72DC2" w:rsidR="00752146" w:rsidRPr="00B01C0C" w:rsidRDefault="00B01C0C" w:rsidP="00B01C0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01C0C">
        <w:rPr>
          <w:rFonts w:ascii="Calibri" w:hAnsi="Calibri" w:cs="Calibri"/>
          <w:color w:val="000000" w:themeColor="text1"/>
        </w:rPr>
        <w:t xml:space="preserve">Guidance is available on the </w:t>
      </w:r>
      <w:hyperlink r:id="rId19" w:history="1">
        <w:proofErr w:type="spellStart"/>
        <w:r w:rsidRPr="00B01C0C">
          <w:rPr>
            <w:rStyle w:val="Hyperlink"/>
            <w:rFonts w:ascii="Calibri" w:hAnsi="Calibri" w:cs="Calibri"/>
          </w:rPr>
          <w:t>Oberthur</w:t>
        </w:r>
        <w:proofErr w:type="spellEnd"/>
        <w:r w:rsidRPr="00B01C0C">
          <w:rPr>
            <w:rStyle w:val="Hyperlink"/>
            <w:rFonts w:ascii="Calibri" w:hAnsi="Calibri" w:cs="Calibri"/>
          </w:rPr>
          <w:t xml:space="preserve"> middleware webpage</w:t>
        </w:r>
      </w:hyperlink>
      <w:r w:rsidRPr="00B01C0C">
        <w:rPr>
          <w:rFonts w:ascii="Calibri" w:hAnsi="Calibri" w:cs="Calibri"/>
          <w:color w:val="000000" w:themeColor="text1"/>
        </w:rPr>
        <w:t>.</w:t>
      </w:r>
    </w:p>
    <w:p w14:paraId="71FC0A1E" w14:textId="77777777" w:rsidR="00752146" w:rsidRDefault="00752146" w:rsidP="00315167">
      <w:pPr>
        <w:spacing w:after="0"/>
        <w:textAlignment w:val="baseline"/>
        <w:rPr>
          <w:rFonts w:ascii="Calibri" w:hAnsi="Calibri" w:cs="Calibri"/>
          <w:b/>
          <w:bCs/>
          <w:color w:val="2F5496" w:themeColor="accent1" w:themeShade="BF"/>
        </w:rPr>
      </w:pPr>
    </w:p>
    <w:p w14:paraId="0EA8F582" w14:textId="77777777" w:rsidR="00752146" w:rsidRDefault="00752146" w:rsidP="00315167">
      <w:pPr>
        <w:spacing w:after="0"/>
        <w:textAlignment w:val="baseline"/>
        <w:rPr>
          <w:rFonts w:ascii="Calibri" w:hAnsi="Calibri" w:cs="Calibri"/>
          <w:b/>
          <w:bCs/>
          <w:color w:val="2F5496" w:themeColor="accent1" w:themeShade="BF"/>
        </w:rPr>
      </w:pPr>
    </w:p>
    <w:p w14:paraId="46FC60A6" w14:textId="77777777" w:rsidR="00752146" w:rsidRDefault="00752146" w:rsidP="00315167">
      <w:pPr>
        <w:spacing w:after="0"/>
        <w:textAlignment w:val="baseline"/>
        <w:rPr>
          <w:rFonts w:ascii="Calibri" w:hAnsi="Calibri" w:cs="Calibri"/>
          <w:b/>
          <w:bCs/>
          <w:color w:val="2F5496" w:themeColor="accent1" w:themeShade="BF"/>
        </w:rPr>
      </w:pPr>
    </w:p>
    <w:p w14:paraId="41339D10" w14:textId="77777777" w:rsidR="00752146" w:rsidRDefault="00752146" w:rsidP="00315167">
      <w:pPr>
        <w:spacing w:after="0"/>
        <w:textAlignment w:val="baseline"/>
        <w:rPr>
          <w:rFonts w:ascii="Calibri" w:hAnsi="Calibri" w:cs="Calibri"/>
          <w:b/>
          <w:bCs/>
          <w:color w:val="2F5496" w:themeColor="accent1" w:themeShade="BF"/>
        </w:rPr>
      </w:pPr>
    </w:p>
    <w:p w14:paraId="23CF10F4" w14:textId="4E9C1CF5" w:rsidR="00752146" w:rsidRDefault="00EC41AA" w:rsidP="00EC41A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bookmarkStart w:id="6" w:name="NO7"/>
      <w:r>
        <w:rPr>
          <w:rFonts w:ascii="Calibri" w:hAnsi="Calibri" w:cs="Calibri"/>
          <w:b/>
          <w:bCs/>
          <w:color w:val="000000" w:themeColor="text1"/>
        </w:rPr>
        <w:t>7.</w:t>
      </w:r>
      <w:r w:rsidRPr="00EC41AA">
        <w:rPr>
          <w:rFonts w:ascii="Calibri" w:hAnsi="Calibri" w:cs="Calibri"/>
          <w:b/>
          <w:bCs/>
          <w:color w:val="000000" w:themeColor="text1"/>
        </w:rPr>
        <w:t>Rebuild General Practice Newsletter - Our Response to the 10 Year Health Plan for England</w:t>
      </w:r>
      <w:bookmarkEnd w:id="6"/>
    </w:p>
    <w:p w14:paraId="39A346DD" w14:textId="77777777" w:rsidR="00752146" w:rsidRPr="00EC41AA" w:rsidRDefault="00752146" w:rsidP="00EC41A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12A45AE" w14:textId="0103FF0D" w:rsidR="00752146" w:rsidRPr="00EC41AA" w:rsidRDefault="00EC41AA" w:rsidP="00EC41A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C41AA">
        <w:rPr>
          <w:rFonts w:ascii="Calibri" w:hAnsi="Calibri" w:cs="Calibri"/>
          <w:color w:val="000000" w:themeColor="text1"/>
        </w:rPr>
        <w:t xml:space="preserve">Please see attachment for your </w:t>
      </w:r>
      <w:proofErr w:type="gramStart"/>
      <w:r w:rsidRPr="00EC41AA">
        <w:rPr>
          <w:rFonts w:ascii="Calibri" w:hAnsi="Calibri" w:cs="Calibri"/>
          <w:color w:val="000000" w:themeColor="text1"/>
        </w:rPr>
        <w:t>information;</w:t>
      </w:r>
      <w:proofErr w:type="gramEnd"/>
    </w:p>
    <w:p w14:paraId="28F250DD" w14:textId="77777777" w:rsidR="00752146" w:rsidRDefault="00752146" w:rsidP="00315167">
      <w:pPr>
        <w:spacing w:after="0"/>
        <w:textAlignment w:val="baseline"/>
        <w:rPr>
          <w:rFonts w:ascii="Calibri" w:hAnsi="Calibri" w:cs="Calibri"/>
          <w:b/>
          <w:bCs/>
          <w:color w:val="2F5496" w:themeColor="accent1" w:themeShade="BF"/>
        </w:rPr>
      </w:pPr>
    </w:p>
    <w:p w14:paraId="0536AFB8" w14:textId="77777777" w:rsidR="00752146" w:rsidRDefault="00752146" w:rsidP="00315167">
      <w:pPr>
        <w:spacing w:after="0"/>
        <w:textAlignment w:val="baseline"/>
        <w:rPr>
          <w:rFonts w:ascii="Calibri" w:hAnsi="Calibri" w:cs="Calibri"/>
          <w:b/>
          <w:bCs/>
          <w:color w:val="2F5496" w:themeColor="accent1" w:themeShade="BF"/>
        </w:rPr>
      </w:pPr>
    </w:p>
    <w:p w14:paraId="7C8E6175" w14:textId="77777777" w:rsidR="00752146" w:rsidRDefault="00752146" w:rsidP="00315167">
      <w:pPr>
        <w:spacing w:after="0"/>
        <w:textAlignment w:val="baseline"/>
        <w:rPr>
          <w:rFonts w:ascii="Calibri" w:hAnsi="Calibri" w:cs="Calibri"/>
          <w:b/>
          <w:bCs/>
          <w:color w:val="2F5496" w:themeColor="accent1" w:themeShade="BF"/>
        </w:rPr>
      </w:pPr>
    </w:p>
    <w:p w14:paraId="431EE1CC" w14:textId="77777777" w:rsidR="00752146" w:rsidRDefault="00752146" w:rsidP="00315167">
      <w:pPr>
        <w:spacing w:after="0"/>
        <w:textAlignment w:val="baseline"/>
        <w:rPr>
          <w:rFonts w:ascii="Calibri" w:hAnsi="Calibri" w:cs="Calibri"/>
          <w:b/>
          <w:bCs/>
          <w:color w:val="2F5496" w:themeColor="accent1" w:themeShade="BF"/>
        </w:rPr>
      </w:pPr>
    </w:p>
    <w:p w14:paraId="4B2BF8D4" w14:textId="77777777" w:rsidR="00752146" w:rsidRDefault="00752146" w:rsidP="00315167">
      <w:pPr>
        <w:spacing w:after="0"/>
        <w:textAlignment w:val="baseline"/>
        <w:rPr>
          <w:rFonts w:ascii="Calibri" w:hAnsi="Calibri" w:cs="Calibri"/>
          <w:b/>
          <w:bCs/>
          <w:color w:val="2F5496" w:themeColor="accent1" w:themeShade="BF"/>
        </w:rPr>
      </w:pPr>
    </w:p>
    <w:p w14:paraId="1C04D1C9" w14:textId="77777777" w:rsidR="00752146" w:rsidRDefault="00752146" w:rsidP="00315167">
      <w:pPr>
        <w:spacing w:after="0"/>
        <w:textAlignment w:val="baseline"/>
        <w:rPr>
          <w:rFonts w:ascii="Calibri" w:hAnsi="Calibri" w:cs="Calibri"/>
          <w:b/>
          <w:bCs/>
          <w:color w:val="2F5496" w:themeColor="accent1" w:themeShade="BF"/>
        </w:rPr>
      </w:pPr>
    </w:p>
    <w:p w14:paraId="56338BAA" w14:textId="77777777" w:rsidR="00752146" w:rsidRDefault="00752146" w:rsidP="00315167">
      <w:pPr>
        <w:spacing w:after="0"/>
        <w:textAlignment w:val="baseline"/>
        <w:rPr>
          <w:rFonts w:ascii="Calibri" w:hAnsi="Calibri" w:cs="Calibri"/>
          <w:b/>
          <w:bCs/>
          <w:color w:val="2F5496" w:themeColor="accent1" w:themeShade="BF"/>
        </w:rPr>
      </w:pPr>
    </w:p>
    <w:p w14:paraId="1A75FDE0" w14:textId="77777777" w:rsidR="00752146" w:rsidRDefault="00752146" w:rsidP="00315167">
      <w:pPr>
        <w:spacing w:after="0"/>
        <w:textAlignment w:val="baseline"/>
        <w:rPr>
          <w:rFonts w:ascii="Calibri" w:hAnsi="Calibri" w:cs="Calibri"/>
          <w:b/>
          <w:bCs/>
          <w:color w:val="2F5496" w:themeColor="accent1" w:themeShade="BF"/>
        </w:rPr>
      </w:pPr>
    </w:p>
    <w:p w14:paraId="01947270" w14:textId="77777777" w:rsidR="00752146" w:rsidRDefault="00752146" w:rsidP="00315167">
      <w:pPr>
        <w:spacing w:after="0"/>
        <w:textAlignment w:val="baseline"/>
        <w:rPr>
          <w:rFonts w:ascii="Calibri" w:hAnsi="Calibri" w:cs="Calibri"/>
          <w:b/>
          <w:bCs/>
          <w:color w:val="2F5496" w:themeColor="accent1" w:themeShade="BF"/>
        </w:rPr>
      </w:pPr>
    </w:p>
    <w:p w14:paraId="3659486B" w14:textId="77777777" w:rsidR="00752146" w:rsidRDefault="00752146" w:rsidP="00315167">
      <w:pPr>
        <w:spacing w:after="0"/>
        <w:textAlignment w:val="baseline"/>
        <w:rPr>
          <w:rFonts w:ascii="Calibri" w:hAnsi="Calibri" w:cs="Calibri"/>
          <w:b/>
          <w:bCs/>
          <w:color w:val="2F5496" w:themeColor="accent1" w:themeShade="BF"/>
        </w:rPr>
      </w:pPr>
    </w:p>
    <w:p w14:paraId="0B2EE868" w14:textId="77777777" w:rsidR="00752146" w:rsidRDefault="00752146" w:rsidP="00315167">
      <w:pPr>
        <w:spacing w:after="0"/>
        <w:textAlignment w:val="baseline"/>
        <w:rPr>
          <w:rFonts w:ascii="Calibri" w:hAnsi="Calibri" w:cs="Calibri"/>
          <w:b/>
          <w:bCs/>
          <w:color w:val="2F5496" w:themeColor="accent1" w:themeShade="BF"/>
        </w:rPr>
      </w:pPr>
    </w:p>
    <w:p w14:paraId="290A3A3E" w14:textId="77777777" w:rsidR="00752146" w:rsidRDefault="00752146" w:rsidP="00315167">
      <w:pPr>
        <w:spacing w:after="0"/>
        <w:textAlignment w:val="baseline"/>
        <w:rPr>
          <w:rFonts w:ascii="Calibri" w:hAnsi="Calibri" w:cs="Calibri"/>
          <w:b/>
          <w:bCs/>
          <w:color w:val="2F5496" w:themeColor="accent1" w:themeShade="BF"/>
        </w:rPr>
      </w:pPr>
    </w:p>
    <w:p w14:paraId="06B6BBBE" w14:textId="77777777" w:rsidR="00B01C0C" w:rsidRDefault="00B01C0C" w:rsidP="00315167">
      <w:pPr>
        <w:spacing w:after="0"/>
        <w:textAlignment w:val="baseline"/>
        <w:rPr>
          <w:rFonts w:ascii="Calibri" w:hAnsi="Calibri" w:cs="Calibri"/>
          <w:b/>
          <w:bCs/>
          <w:color w:val="2F5496" w:themeColor="accent1" w:themeShade="BF"/>
        </w:rPr>
      </w:pPr>
    </w:p>
    <w:p w14:paraId="4A38973F" w14:textId="77777777" w:rsidR="00B01C0C" w:rsidRPr="004801DB" w:rsidRDefault="00B01C0C" w:rsidP="00315167">
      <w:pPr>
        <w:spacing w:after="0"/>
        <w:textAlignment w:val="baseline"/>
        <w:rPr>
          <w:rFonts w:ascii="Calibri" w:hAnsi="Calibri" w:cs="Calibri"/>
          <w:b/>
          <w:bCs/>
          <w:color w:val="2F5496" w:themeColor="accent1" w:themeShade="BF"/>
        </w:rPr>
      </w:pPr>
      <w:bookmarkStart w:id="7" w:name="NO8"/>
    </w:p>
    <w:p w14:paraId="3D56E680" w14:textId="77777777" w:rsidR="004801DB" w:rsidRPr="004801DB" w:rsidRDefault="004801DB" w:rsidP="004801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4801DB">
        <w:rPr>
          <w:rFonts w:ascii="Calibri" w:hAnsi="Calibri" w:cs="Calibri"/>
          <w:b/>
          <w:bCs/>
          <w:color w:val="000000" w:themeColor="text1"/>
        </w:rPr>
        <w:t>8.</w:t>
      </w:r>
      <w:r w:rsidRPr="004801DB">
        <w:rPr>
          <w:rFonts w:ascii="Calibri" w:hAnsi="Calibri" w:cs="Calibri"/>
          <w:b/>
          <w:bCs/>
          <w:color w:val="000000" w:themeColor="text1"/>
        </w:rPr>
        <w:t>New: Routine mpox and gonorrhoea vaccination programmes to begin summer 2025</w:t>
      </w:r>
    </w:p>
    <w:bookmarkEnd w:id="7"/>
    <w:p w14:paraId="7F223855" w14:textId="0927222E" w:rsidR="00752146" w:rsidRDefault="004801DB" w:rsidP="004801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801DB">
        <w:rPr>
          <w:rFonts w:ascii="Calibri" w:hAnsi="Calibri" w:cs="Calibri"/>
          <w:color w:val="000000" w:themeColor="text1"/>
        </w:rPr>
        <w:br/>
        <w:t>Starting in August 2025, the UK government will roll out routine vaccination programmes for mpox and gonorrhoea, following recommendations from the Joint Committee on Vaccination and Immunisation (JCVI).</w:t>
      </w:r>
      <w:r w:rsidRPr="004801DB">
        <w:rPr>
          <w:rFonts w:ascii="Calibri" w:hAnsi="Calibri" w:cs="Calibri"/>
          <w:color w:val="000000" w:themeColor="text1"/>
        </w:rPr>
        <w:br/>
      </w:r>
      <w:r w:rsidRPr="004801DB">
        <w:rPr>
          <w:rFonts w:ascii="Calibri" w:hAnsi="Calibri" w:cs="Calibri"/>
          <w:color w:val="000000" w:themeColor="text1"/>
        </w:rPr>
        <w:br/>
        <w:t>These programmes aim to protect individuals and curb the spread of infections and will be delivered through sexual health services. The primary focus is on gay, bisexual, and other men who have sex with men (GBMSM) who are at the highest risk, although a small number of other high-risk individuals may also qualify.</w:t>
      </w:r>
      <w:r w:rsidRPr="004801DB">
        <w:rPr>
          <w:rFonts w:ascii="Calibri" w:hAnsi="Calibri" w:cs="Calibri"/>
          <w:color w:val="000000" w:themeColor="text1"/>
        </w:rPr>
        <w:br/>
      </w:r>
      <w:r w:rsidRPr="004801DB">
        <w:rPr>
          <w:rFonts w:ascii="Calibri" w:hAnsi="Calibri" w:cs="Calibri"/>
          <w:color w:val="000000" w:themeColor="text1"/>
        </w:rPr>
        <w:br/>
        <w:t>Eligibility will be determined by sexual health services, using indicators such as multiple recent sexual partners or a history of bacterial STIs. Further details will be outlined in the Green Book.</w:t>
      </w:r>
      <w:r w:rsidRPr="004801DB">
        <w:rPr>
          <w:rFonts w:ascii="Calibri" w:hAnsi="Calibri" w:cs="Calibri"/>
          <w:color w:val="000000" w:themeColor="text1"/>
        </w:rPr>
        <w:br/>
      </w:r>
      <w:r w:rsidRPr="004801DB">
        <w:rPr>
          <w:rFonts w:ascii="Calibri" w:hAnsi="Calibri" w:cs="Calibri"/>
          <w:color w:val="000000" w:themeColor="text1"/>
        </w:rPr>
        <w:br/>
        <w:t>Delivery is set to begin by 1 September 2025 through Umbrella sexual health, pending final preparations such as training, contracting, and vaccine supply. Vaccinations will be delivered opportunistically to people attending Umbrella sexual health services, but booked vaccination clinics will also be made available, details will be circulated when available.</w:t>
      </w:r>
    </w:p>
    <w:p w14:paraId="07D83C09" w14:textId="77777777" w:rsidR="004801DB" w:rsidRDefault="004801DB" w:rsidP="004801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44D3E03" w14:textId="7379D191" w:rsidR="004801DB" w:rsidRDefault="004801DB" w:rsidP="004801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801DB">
        <w:rPr>
          <w:rFonts w:ascii="Calibri" w:hAnsi="Calibri" w:cs="Calibri"/>
          <w:color w:val="000000" w:themeColor="text1"/>
        </w:rPr>
        <w:t>The Birmingham and Solihull Integrated Care Board, alongside local authorities, will oversee commissioning.</w:t>
      </w:r>
    </w:p>
    <w:p w14:paraId="1ECD9D9F" w14:textId="77777777" w:rsidR="004801DB" w:rsidRDefault="004801DB" w:rsidP="00315167">
      <w:pPr>
        <w:spacing w:after="0"/>
        <w:textAlignment w:val="baseline"/>
        <w:rPr>
          <w:rFonts w:ascii="Calibri" w:hAnsi="Calibri" w:cs="Calibri"/>
          <w:color w:val="000000" w:themeColor="text1"/>
        </w:rPr>
      </w:pPr>
    </w:p>
    <w:p w14:paraId="03BE1A53" w14:textId="77777777" w:rsidR="004801DB" w:rsidRPr="004801DB" w:rsidRDefault="004801DB" w:rsidP="00315167">
      <w:pPr>
        <w:spacing w:after="0"/>
        <w:textAlignment w:val="baseline"/>
        <w:rPr>
          <w:rFonts w:ascii="Calibri" w:hAnsi="Calibri" w:cs="Calibri"/>
          <w:color w:val="000000" w:themeColor="text1"/>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0"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67FC704" w14:textId="77777777" w:rsidR="00EC41AA" w:rsidRDefault="00EC41AA" w:rsidP="00C0505E">
      <w:pPr>
        <w:rPr>
          <w:b/>
          <w:bCs/>
          <w:color w:val="FF0000"/>
        </w:rPr>
      </w:pPr>
    </w:p>
    <w:p w14:paraId="74E3F097" w14:textId="77777777" w:rsidR="00EC41AA" w:rsidRDefault="00EC41AA" w:rsidP="00C0505E">
      <w:pPr>
        <w:rPr>
          <w:b/>
          <w:bCs/>
          <w:color w:val="FF0000"/>
        </w:rPr>
      </w:pPr>
    </w:p>
    <w:p w14:paraId="5FEB7FBF" w14:textId="77777777" w:rsidR="00EC41AA" w:rsidRDefault="00EC41AA" w:rsidP="00C0505E">
      <w:pPr>
        <w:rPr>
          <w:b/>
          <w:bCs/>
          <w:color w:val="FF0000"/>
        </w:rPr>
      </w:pPr>
    </w:p>
    <w:p w14:paraId="1169B05B" w14:textId="77777777" w:rsidR="00EC41AA" w:rsidRDefault="00EC41AA" w:rsidP="00C0505E">
      <w:pPr>
        <w:rPr>
          <w:b/>
          <w:bCs/>
          <w:color w:val="FF0000"/>
        </w:rPr>
      </w:pPr>
    </w:p>
    <w:p w14:paraId="5DE93862" w14:textId="77777777" w:rsidR="00EC41AA" w:rsidRDefault="00EC41AA" w:rsidP="00C0505E">
      <w:pPr>
        <w:rPr>
          <w:b/>
          <w:bCs/>
          <w:color w:val="FF0000"/>
        </w:rPr>
      </w:pPr>
    </w:p>
    <w:p w14:paraId="3D4299B7" w14:textId="77777777" w:rsidR="00EC41AA" w:rsidRDefault="00EC41AA"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1"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2"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3" w:history="1">
        <w:r w:rsidRPr="00C53DB4">
          <w:rPr>
            <w:rStyle w:val="Hyperlink"/>
            <w:rFonts w:cstheme="minorHAnsi"/>
            <w:b/>
            <w:bCs/>
          </w:rPr>
          <w:t>https://www.england.nhs.uk/</w:t>
        </w:r>
      </w:hyperlink>
    </w:p>
    <w:sectPr w:rsidR="00D14BAB" w:rsidSect="00A40293">
      <w:headerReference w:type="default" r:id="rId24"/>
      <w:footerReference w:type="default" r:id="rId25"/>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8"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25"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CC8280C"/>
    <w:multiLevelType w:val="hybridMultilevel"/>
    <w:tmpl w:val="4080D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36"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37"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4C6946"/>
    <w:multiLevelType w:val="hybridMultilevel"/>
    <w:tmpl w:val="DAACB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0"/>
  </w:num>
  <w:num w:numId="2" w16cid:durableId="161434421">
    <w:abstractNumId w:val="54"/>
  </w:num>
  <w:num w:numId="3" w16cid:durableId="1207523247">
    <w:abstractNumId w:val="9"/>
  </w:num>
  <w:num w:numId="4" w16cid:durableId="789477728">
    <w:abstractNumId w:val="19"/>
  </w:num>
  <w:num w:numId="5" w16cid:durableId="1439716184">
    <w:abstractNumId w:val="55"/>
  </w:num>
  <w:num w:numId="6" w16cid:durableId="1300766329">
    <w:abstractNumId w:val="23"/>
  </w:num>
  <w:num w:numId="7" w16cid:durableId="926112568">
    <w:abstractNumId w:val="1"/>
  </w:num>
  <w:num w:numId="8" w16cid:durableId="925654044">
    <w:abstractNumId w:val="47"/>
  </w:num>
  <w:num w:numId="9" w16cid:durableId="660962275">
    <w:abstractNumId w:val="3"/>
  </w:num>
  <w:num w:numId="10" w16cid:durableId="821697402">
    <w:abstractNumId w:val="24"/>
  </w:num>
  <w:num w:numId="11" w16cid:durableId="264652967">
    <w:abstractNumId w:val="12"/>
  </w:num>
  <w:num w:numId="12" w16cid:durableId="1640649437">
    <w:abstractNumId w:val="46"/>
  </w:num>
  <w:num w:numId="13" w16cid:durableId="1308588184">
    <w:abstractNumId w:val="44"/>
  </w:num>
  <w:num w:numId="14" w16cid:durableId="1640919933">
    <w:abstractNumId w:val="2"/>
  </w:num>
  <w:num w:numId="15" w16cid:durableId="1873683327">
    <w:abstractNumId w:val="52"/>
  </w:num>
  <w:num w:numId="16" w16cid:durableId="1128401359">
    <w:abstractNumId w:val="6"/>
  </w:num>
  <w:num w:numId="17" w16cid:durableId="1664971033">
    <w:abstractNumId w:val="31"/>
  </w:num>
  <w:num w:numId="18" w16cid:durableId="1819956202">
    <w:abstractNumId w:val="49"/>
  </w:num>
  <w:num w:numId="19" w16cid:durableId="1906210873">
    <w:abstractNumId w:val="39"/>
  </w:num>
  <w:num w:numId="20" w16cid:durableId="1949464414">
    <w:abstractNumId w:val="34"/>
  </w:num>
  <w:num w:numId="21" w16cid:durableId="1195269346">
    <w:abstractNumId w:val="32"/>
  </w:num>
  <w:num w:numId="22" w16cid:durableId="1784109296">
    <w:abstractNumId w:val="28"/>
  </w:num>
  <w:num w:numId="23" w16cid:durableId="556017852">
    <w:abstractNumId w:val="26"/>
  </w:num>
  <w:num w:numId="24" w16cid:durableId="416444482">
    <w:abstractNumId w:val="29"/>
  </w:num>
  <w:num w:numId="25" w16cid:durableId="1733961568">
    <w:abstractNumId w:val="45"/>
  </w:num>
  <w:num w:numId="26" w16cid:durableId="948395443">
    <w:abstractNumId w:val="13"/>
  </w:num>
  <w:num w:numId="27" w16cid:durableId="410784626">
    <w:abstractNumId w:val="20"/>
  </w:num>
  <w:num w:numId="28" w16cid:durableId="263342047">
    <w:abstractNumId w:val="50"/>
  </w:num>
  <w:num w:numId="29" w16cid:durableId="692923542">
    <w:abstractNumId w:val="27"/>
  </w:num>
  <w:num w:numId="30" w16cid:durableId="1368066881">
    <w:abstractNumId w:val="53"/>
  </w:num>
  <w:num w:numId="31" w16cid:durableId="1075474180">
    <w:abstractNumId w:val="30"/>
  </w:num>
  <w:num w:numId="32" w16cid:durableId="1509982090">
    <w:abstractNumId w:val="14"/>
  </w:num>
  <w:num w:numId="33" w16cid:durableId="2008751850">
    <w:abstractNumId w:val="48"/>
  </w:num>
  <w:num w:numId="34" w16cid:durableId="1197281596">
    <w:abstractNumId w:val="25"/>
  </w:num>
  <w:num w:numId="35" w16cid:durableId="506096805">
    <w:abstractNumId w:val="21"/>
  </w:num>
  <w:num w:numId="36" w16cid:durableId="1170750209">
    <w:abstractNumId w:val="36"/>
  </w:num>
  <w:num w:numId="37" w16cid:durableId="313611697">
    <w:abstractNumId w:val="7"/>
  </w:num>
  <w:num w:numId="38" w16cid:durableId="56126405">
    <w:abstractNumId w:val="35"/>
  </w:num>
  <w:num w:numId="39" w16cid:durableId="1933969029">
    <w:abstractNumId w:val="40"/>
  </w:num>
  <w:num w:numId="40" w16cid:durableId="1626505030">
    <w:abstractNumId w:val="41"/>
  </w:num>
  <w:num w:numId="41" w16cid:durableId="1007751562">
    <w:abstractNumId w:val="15"/>
  </w:num>
  <w:num w:numId="42" w16cid:durableId="1030573140">
    <w:abstractNumId w:val="18"/>
  </w:num>
  <w:num w:numId="43" w16cid:durableId="732582647">
    <w:abstractNumId w:val="22"/>
  </w:num>
  <w:num w:numId="44" w16cid:durableId="1695228288">
    <w:abstractNumId w:val="38"/>
  </w:num>
  <w:num w:numId="45" w16cid:durableId="398213368">
    <w:abstractNumId w:val="11"/>
  </w:num>
  <w:num w:numId="46" w16cid:durableId="2033145016">
    <w:abstractNumId w:val="37"/>
  </w:num>
  <w:num w:numId="47" w16cid:durableId="1755082248">
    <w:abstractNumId w:val="4"/>
  </w:num>
  <w:num w:numId="48" w16cid:durableId="229076658">
    <w:abstractNumId w:val="51"/>
  </w:num>
  <w:num w:numId="49" w16cid:durableId="1990865937">
    <w:abstractNumId w:val="42"/>
  </w:num>
  <w:num w:numId="50" w16cid:durableId="1393385331">
    <w:abstractNumId w:val="5"/>
  </w:num>
  <w:num w:numId="51" w16cid:durableId="431362257">
    <w:abstractNumId w:val="0"/>
  </w:num>
  <w:num w:numId="52" w16cid:durableId="738018980">
    <w:abstractNumId w:val="16"/>
  </w:num>
  <w:num w:numId="53" w16cid:durableId="605161562">
    <w:abstractNumId w:val="8"/>
  </w:num>
  <w:num w:numId="54" w16cid:durableId="1654259824">
    <w:abstractNumId w:val="17"/>
  </w:num>
  <w:num w:numId="55" w16cid:durableId="50007263">
    <w:abstractNumId w:val="43"/>
  </w:num>
  <w:num w:numId="56" w16cid:durableId="97407683">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557"/>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1DB"/>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0FD3"/>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1C0C"/>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6C83"/>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1AA"/>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100509">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1829644">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24623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0208138">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597717630">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57">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143929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78068960">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68956615">
      <w:bodyDiv w:val="1"/>
      <w:marLeft w:val="0"/>
      <w:marRight w:val="0"/>
      <w:marTop w:val="0"/>
      <w:marBottom w:val="0"/>
      <w:divBdr>
        <w:top w:val="none" w:sz="0" w:space="0" w:color="auto"/>
        <w:left w:val="none" w:sz="0" w:space="0" w:color="auto"/>
        <w:bottom w:val="none" w:sz="0" w:space="0" w:color="auto"/>
        <w:right w:val="none" w:sz="0" w:space="0" w:color="auto"/>
      </w:divBdr>
    </w:div>
    <w:div w:id="872310395">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483957">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38642368">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664923">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7960125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27053953">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69346332">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77787099">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86651527">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3402466">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8350753">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4171486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0638448">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mailto:england.gpcontracts@nhs.ne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ma.org.uk/advice-and-support/gp-practices" TargetMode="External"/><Relationship Id="rId7" Type="http://schemas.openxmlformats.org/officeDocument/2006/relationships/settings" Target="settings.xml"/><Relationship Id="rId12" Type="http://schemas.openxmlformats.org/officeDocument/2006/relationships/hyperlink" Target="https://youtu.be/zN28mEWA6-8" TargetMode="External"/><Relationship Id="rId17" Type="http://schemas.openxmlformats.org/officeDocument/2006/relationships/hyperlink" Target="https://primarycarebulletin.cmail20.com/t/d-l-sudiiit-tluhhdhyld-i/"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20.com/t/d-l-sudiiit-tluhhdhyld-t/" TargetMode="External"/><Relationship Id="rId20"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search.net/r/CNLMY6M"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20.com/t/d-l-sudiiit-tluhhdhyld-j/" TargetMode="External"/><Relationship Id="rId23" Type="http://schemas.openxmlformats.org/officeDocument/2006/relationships/hyperlink" Target="https://www.england.nhs.uk/" TargetMode="External"/><Relationship Id="rId10" Type="http://schemas.openxmlformats.org/officeDocument/2006/relationships/endnotes" Target="endnotes.xml"/><Relationship Id="rId19" Type="http://schemas.openxmlformats.org/officeDocument/2006/relationships/hyperlink" Target="https://primarycarebulletin.cmail20.com/t/d-l-sudiiit-tluhhdhyl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png@01DBFA3F.0BF7BB70" TargetMode="External"/><Relationship Id="rId22" Type="http://schemas.openxmlformats.org/officeDocument/2006/relationships/hyperlink" Target="https://www.gov.uk/coronaviru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2025-07-22T18:06:00Z</dcterms:created>
  <dcterms:modified xsi:type="dcterms:W3CDTF">2025-07-22T18:06:00Z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