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42A5762F">
                <wp:simplePos x="0" y="0"/>
                <wp:positionH relativeFrom="margin">
                  <wp:align>left</wp:align>
                </wp:positionH>
                <wp:positionV relativeFrom="paragraph">
                  <wp:posOffset>69215</wp:posOffset>
                </wp:positionV>
                <wp:extent cx="5463540" cy="75438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754380"/>
                        </a:xfrm>
                        <a:prstGeom prst="rect">
                          <a:avLst/>
                        </a:prstGeom>
                        <a:noFill/>
                        <a:ln w="9525">
                          <a:noFill/>
                          <a:miter lim="800000"/>
                          <a:headEnd/>
                          <a:tailEnd/>
                        </a:ln>
                      </wps:spPr>
                      <wps:txbx>
                        <w:txbxContent>
                          <w:p w14:paraId="456C3362" w14:textId="159DFDBC"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7325B3">
                              <w:rPr>
                                <w:b/>
                                <w:bCs/>
                                <w:i/>
                                <w:iCs/>
                                <w:color w:val="4472C4" w:themeColor="accent1"/>
                                <w:sz w:val="44"/>
                                <w:szCs w:val="44"/>
                              </w:rPr>
                              <w:t>29</w:t>
                            </w:r>
                            <w:r w:rsidR="007325B3" w:rsidRPr="007325B3">
                              <w:rPr>
                                <w:b/>
                                <w:bCs/>
                                <w:i/>
                                <w:iCs/>
                                <w:color w:val="4472C4" w:themeColor="accent1"/>
                                <w:sz w:val="44"/>
                                <w:szCs w:val="44"/>
                                <w:vertAlign w:val="superscript"/>
                              </w:rPr>
                              <w:t>th</w:t>
                            </w:r>
                            <w:r w:rsidR="007325B3">
                              <w:rPr>
                                <w:b/>
                                <w:bCs/>
                                <w:i/>
                                <w:iCs/>
                                <w:color w:val="4472C4" w:themeColor="accent1"/>
                                <w:sz w:val="44"/>
                                <w:szCs w:val="44"/>
                              </w:rPr>
                              <w:t xml:space="preserve"> of July</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59.4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" filled="f" stroked="f">
                <v:textbox>
                  <w:txbxContent>
                    <w:p w14:paraId="456C3362" w14:textId="159DFDBC"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7325B3">
                        <w:rPr>
                          <w:b/>
                          <w:bCs/>
                          <w:i/>
                          <w:iCs/>
                          <w:color w:val="4472C4" w:themeColor="accent1"/>
                          <w:sz w:val="44"/>
                          <w:szCs w:val="44"/>
                        </w:rPr>
                        <w:t>29</w:t>
                      </w:r>
                      <w:r w:rsidR="007325B3" w:rsidRPr="007325B3">
                        <w:rPr>
                          <w:b/>
                          <w:bCs/>
                          <w:i/>
                          <w:iCs/>
                          <w:color w:val="4472C4" w:themeColor="accent1"/>
                          <w:sz w:val="44"/>
                          <w:szCs w:val="44"/>
                          <w:vertAlign w:val="superscript"/>
                        </w:rPr>
                        <w:t>th</w:t>
                      </w:r>
                      <w:r w:rsidR="007325B3">
                        <w:rPr>
                          <w:b/>
                          <w:bCs/>
                          <w:i/>
                          <w:iCs/>
                          <w:color w:val="4472C4" w:themeColor="accent1"/>
                          <w:sz w:val="44"/>
                          <w:szCs w:val="44"/>
                        </w:rPr>
                        <w:t xml:space="preserve"> of July</w:t>
                      </w:r>
                      <w:r w:rsidR="00101CD6">
                        <w:rPr>
                          <w:b/>
                          <w:bCs/>
                          <w:i/>
                          <w:iCs/>
                          <w:color w:val="4472C4" w:themeColor="accent1"/>
                          <w:sz w:val="44"/>
                          <w:szCs w:val="44"/>
                        </w:rPr>
                        <w:t xml:space="preserve"> 2025</w:t>
                      </w:r>
                    </w:p>
                  </w:txbxContent>
                </v:textbox>
                <w10:wrap type="topAndBottom" anchorx="margin"/>
              </v:shape>
            </w:pict>
          </mc:Fallback>
        </mc:AlternateContent>
      </w:r>
    </w:p>
    <w:p w14:paraId="1CB0631F" w14:textId="77777777" w:rsidR="009C659A" w:rsidRDefault="009C659A" w:rsidP="00315167">
      <w:pPr>
        <w:spacing w:after="0"/>
        <w:textAlignment w:val="baseline"/>
        <w:rPr>
          <w:rFonts w:ascii="Calibri" w:hAnsi="Calibri" w:cs="Calibri"/>
          <w:b/>
          <w:bCs/>
          <w:color w:val="2F5496" w:themeColor="accent1" w:themeShade="BF"/>
        </w:rPr>
      </w:pPr>
    </w:p>
    <w:p w14:paraId="15A3C352" w14:textId="77777777" w:rsidR="00752146" w:rsidRDefault="00752146" w:rsidP="00315167">
      <w:pPr>
        <w:spacing w:after="0"/>
        <w:textAlignment w:val="baseline"/>
        <w:rPr>
          <w:rFonts w:ascii="Calibri" w:hAnsi="Calibri" w:cs="Calibri"/>
          <w:b/>
          <w:bCs/>
          <w:color w:val="2F5496" w:themeColor="accent1" w:themeShade="BF"/>
        </w:rPr>
      </w:pPr>
    </w:p>
    <w:p w14:paraId="0C327022" w14:textId="463B5406" w:rsidR="00752146" w:rsidRPr="00E76088" w:rsidRDefault="00E76088" w:rsidP="00FD0191">
      <w:pPr>
        <w:pStyle w:val="ListParagraph"/>
        <w:numPr>
          <w:ilvl w:val="0"/>
          <w:numId w:val="57"/>
        </w:numPr>
        <w:spacing w:after="0"/>
        <w:textAlignment w:val="baseline"/>
        <w:rPr>
          <w:rFonts w:ascii="Calibri" w:hAnsi="Calibri" w:cs="Calibri"/>
          <w:b/>
          <w:bCs/>
          <w:color w:val="2F5496" w:themeColor="accent1" w:themeShade="BF"/>
        </w:rPr>
      </w:pPr>
      <w:hyperlink w:anchor="NO1" w:history="1">
        <w:r w:rsidR="00FD0191" w:rsidRPr="00E76088">
          <w:rPr>
            <w:rStyle w:val="Hyperlink"/>
            <w:rFonts w:ascii="Calibri" w:hAnsi="Calibri" w:cs="Calibri"/>
            <w:b/>
            <w:bCs/>
            <w:color w:val="2F5496" w:themeColor="accent1" w:themeShade="BF"/>
          </w:rPr>
          <w:t>BMA’s Private Practice Committee (PPC) Summer 2025 Newsletter</w:t>
        </w:r>
      </w:hyperlink>
      <w:r w:rsidR="00FD0191" w:rsidRPr="00E76088">
        <w:rPr>
          <w:rFonts w:ascii="Calibri" w:hAnsi="Calibri" w:cs="Calibri"/>
          <w:b/>
          <w:bCs/>
          <w:color w:val="2F5496" w:themeColor="accent1" w:themeShade="BF"/>
        </w:rPr>
        <w:t xml:space="preserve"> </w:t>
      </w:r>
    </w:p>
    <w:p w14:paraId="77CCBB4D" w14:textId="7D13BBC1" w:rsidR="00FD0191" w:rsidRPr="00E76088" w:rsidRDefault="00E76088" w:rsidP="00FD0191">
      <w:pPr>
        <w:pStyle w:val="ListParagraph"/>
        <w:numPr>
          <w:ilvl w:val="0"/>
          <w:numId w:val="57"/>
        </w:numPr>
        <w:spacing w:after="0"/>
        <w:textAlignment w:val="baseline"/>
        <w:rPr>
          <w:rFonts w:ascii="Calibri" w:hAnsi="Calibri" w:cs="Calibri"/>
          <w:b/>
          <w:bCs/>
          <w:color w:val="2F5496" w:themeColor="accent1" w:themeShade="BF"/>
        </w:rPr>
      </w:pPr>
      <w:hyperlink w:anchor="NO2" w:history="1">
        <w:proofErr w:type="spellStart"/>
        <w:r w:rsidR="00FD0191" w:rsidRPr="00E76088">
          <w:rPr>
            <w:rStyle w:val="Hyperlink"/>
            <w:rFonts w:ascii="Calibri" w:hAnsi="Calibri" w:cs="Calibri"/>
            <w:b/>
            <w:bCs/>
            <w:color w:val="2F5496" w:themeColor="accent1" w:themeShade="BF"/>
          </w:rPr>
          <w:t>OpenSAFELY</w:t>
        </w:r>
        <w:proofErr w:type="spellEnd"/>
        <w:r w:rsidR="00FD0191" w:rsidRPr="00E76088">
          <w:rPr>
            <w:rStyle w:val="Hyperlink"/>
            <w:rFonts w:ascii="Calibri" w:hAnsi="Calibri" w:cs="Calibri"/>
            <w:b/>
            <w:bCs/>
            <w:color w:val="2F5496" w:themeColor="accent1" w:themeShade="BF"/>
          </w:rPr>
          <w:t xml:space="preserve"> Data Provision Notice</w:t>
        </w:r>
      </w:hyperlink>
      <w:r w:rsidR="00FD0191" w:rsidRPr="00E76088">
        <w:rPr>
          <w:rFonts w:ascii="Calibri" w:hAnsi="Calibri" w:cs="Calibri"/>
          <w:b/>
          <w:bCs/>
          <w:color w:val="2F5496" w:themeColor="accent1" w:themeShade="BF"/>
        </w:rPr>
        <w:t xml:space="preserve"> </w:t>
      </w:r>
    </w:p>
    <w:p w14:paraId="799E74DB" w14:textId="040C2BDD" w:rsidR="00FD0191" w:rsidRPr="00E76088" w:rsidRDefault="00E76088" w:rsidP="00FD0191">
      <w:pPr>
        <w:pStyle w:val="ListParagraph"/>
        <w:numPr>
          <w:ilvl w:val="0"/>
          <w:numId w:val="57"/>
        </w:numPr>
        <w:spacing w:after="0"/>
        <w:textAlignment w:val="baseline"/>
        <w:rPr>
          <w:rFonts w:ascii="Calibri" w:hAnsi="Calibri" w:cs="Calibri"/>
          <w:b/>
          <w:bCs/>
          <w:color w:val="2F5496" w:themeColor="accent1" w:themeShade="BF"/>
        </w:rPr>
      </w:pPr>
      <w:hyperlink w:anchor="NO3" w:history="1">
        <w:r w:rsidR="00FD0191" w:rsidRPr="00E76088">
          <w:rPr>
            <w:rStyle w:val="Hyperlink"/>
            <w:rFonts w:ascii="Calibri" w:hAnsi="Calibri" w:cs="Calibri"/>
            <w:b/>
            <w:bCs/>
            <w:color w:val="2F5496" w:themeColor="accent1" w:themeShade="BF"/>
          </w:rPr>
          <w:t>Publication of the 2025/26 seasonal flu vaccination service specification for general practice and community pharmacy</w:t>
        </w:r>
      </w:hyperlink>
      <w:r w:rsidR="00FD0191" w:rsidRPr="00E76088">
        <w:rPr>
          <w:rFonts w:ascii="Calibri" w:hAnsi="Calibri" w:cs="Calibri"/>
          <w:b/>
          <w:bCs/>
          <w:color w:val="2F5496" w:themeColor="accent1" w:themeShade="BF"/>
        </w:rPr>
        <w:t xml:space="preserve"> </w:t>
      </w:r>
    </w:p>
    <w:p w14:paraId="40E4E9FD" w14:textId="35D8E29A" w:rsidR="00FD0191" w:rsidRPr="00E76088" w:rsidRDefault="00E76088" w:rsidP="00FD0191">
      <w:pPr>
        <w:pStyle w:val="ListParagraph"/>
        <w:numPr>
          <w:ilvl w:val="0"/>
          <w:numId w:val="57"/>
        </w:numPr>
        <w:spacing w:after="0"/>
        <w:textAlignment w:val="baseline"/>
        <w:rPr>
          <w:rFonts w:ascii="Calibri" w:hAnsi="Calibri" w:cs="Calibri"/>
          <w:b/>
          <w:bCs/>
          <w:color w:val="2F5496" w:themeColor="accent1" w:themeShade="BF"/>
        </w:rPr>
      </w:pPr>
      <w:hyperlink w:anchor="NO4" w:history="1">
        <w:r w:rsidR="00FD0191" w:rsidRPr="00E76088">
          <w:rPr>
            <w:rStyle w:val="Hyperlink"/>
            <w:rFonts w:ascii="Calibri" w:hAnsi="Calibri" w:cs="Calibri"/>
            <w:b/>
            <w:bCs/>
            <w:color w:val="2F5496" w:themeColor="accent1" w:themeShade="BF"/>
          </w:rPr>
          <w:t>National HPV vaccination catch-up campaign for 2025/26</w:t>
        </w:r>
      </w:hyperlink>
    </w:p>
    <w:p w14:paraId="1309EB58" w14:textId="4C2F1902" w:rsidR="00FD0191" w:rsidRPr="00E76088" w:rsidRDefault="00E76088" w:rsidP="00FD0191">
      <w:pPr>
        <w:pStyle w:val="ListParagraph"/>
        <w:numPr>
          <w:ilvl w:val="0"/>
          <w:numId w:val="57"/>
        </w:numPr>
        <w:spacing w:after="0"/>
        <w:textAlignment w:val="baseline"/>
        <w:rPr>
          <w:rFonts w:ascii="Calibri" w:hAnsi="Calibri" w:cs="Calibri"/>
          <w:b/>
          <w:bCs/>
          <w:color w:val="2F5496" w:themeColor="accent1" w:themeShade="BF"/>
        </w:rPr>
      </w:pPr>
      <w:hyperlink w:anchor="NO5" w:history="1">
        <w:r w:rsidR="00FD0191" w:rsidRPr="00E76088">
          <w:rPr>
            <w:rStyle w:val="Hyperlink"/>
            <w:rFonts w:ascii="Calibri" w:hAnsi="Calibri" w:cs="Calibri"/>
            <w:b/>
            <w:bCs/>
            <w:color w:val="2F5496" w:themeColor="accent1" w:themeShade="BF"/>
          </w:rPr>
          <w:t>MMR vaccinations for practice staff</w:t>
        </w:r>
      </w:hyperlink>
    </w:p>
    <w:p w14:paraId="6FC659C9" w14:textId="659129B3" w:rsidR="00FD0191" w:rsidRPr="00E76088" w:rsidRDefault="00E76088" w:rsidP="00FD0191">
      <w:pPr>
        <w:pStyle w:val="ListParagraph"/>
        <w:numPr>
          <w:ilvl w:val="0"/>
          <w:numId w:val="57"/>
        </w:numPr>
        <w:spacing w:after="0"/>
        <w:textAlignment w:val="baseline"/>
        <w:rPr>
          <w:rFonts w:ascii="Calibri" w:hAnsi="Calibri" w:cs="Calibri"/>
          <w:b/>
          <w:bCs/>
          <w:color w:val="2F5496" w:themeColor="accent1" w:themeShade="BF"/>
        </w:rPr>
      </w:pPr>
      <w:hyperlink w:anchor="NO6" w:history="1">
        <w:r w:rsidR="00FD0191" w:rsidRPr="00E76088">
          <w:rPr>
            <w:rStyle w:val="Hyperlink"/>
            <w:rFonts w:ascii="Calibri" w:hAnsi="Calibri" w:cs="Calibri"/>
            <w:b/>
            <w:bCs/>
            <w:color w:val="2F5496" w:themeColor="accent1" w:themeShade="BF"/>
          </w:rPr>
          <w:t>Please see attached GPC England update to LMCs;</w:t>
        </w:r>
      </w:hyperlink>
    </w:p>
    <w:p w14:paraId="780063CD" w14:textId="77777777" w:rsidR="00752146" w:rsidRDefault="00752146" w:rsidP="00315167">
      <w:pPr>
        <w:spacing w:after="0"/>
        <w:textAlignment w:val="baseline"/>
        <w:rPr>
          <w:rFonts w:ascii="Calibri" w:hAnsi="Calibri" w:cs="Calibri"/>
          <w:b/>
          <w:bCs/>
          <w:color w:val="2F5496" w:themeColor="accent1" w:themeShade="BF"/>
        </w:rPr>
      </w:pPr>
    </w:p>
    <w:p w14:paraId="54D75BF1" w14:textId="77777777" w:rsidR="00752146" w:rsidRDefault="00752146" w:rsidP="00315167">
      <w:pPr>
        <w:spacing w:after="0"/>
        <w:textAlignment w:val="baseline"/>
        <w:rPr>
          <w:rFonts w:ascii="Calibri" w:hAnsi="Calibri" w:cs="Calibri"/>
          <w:b/>
          <w:bCs/>
          <w:color w:val="2F5496" w:themeColor="accent1" w:themeShade="BF"/>
        </w:rPr>
      </w:pPr>
    </w:p>
    <w:p w14:paraId="3F792BA6" w14:textId="77777777" w:rsidR="00752146" w:rsidRDefault="00752146" w:rsidP="00315167">
      <w:pPr>
        <w:spacing w:after="0"/>
        <w:textAlignment w:val="baseline"/>
        <w:rPr>
          <w:rFonts w:ascii="Calibri" w:hAnsi="Calibri" w:cs="Calibri"/>
          <w:b/>
          <w:bCs/>
          <w:color w:val="2F5496" w:themeColor="accent1" w:themeShade="BF"/>
        </w:rPr>
      </w:pPr>
    </w:p>
    <w:p w14:paraId="71309304" w14:textId="77777777" w:rsidR="00752146" w:rsidRDefault="00752146" w:rsidP="00315167">
      <w:pPr>
        <w:spacing w:after="0"/>
        <w:textAlignment w:val="baseline"/>
        <w:rPr>
          <w:rFonts w:ascii="Calibri" w:hAnsi="Calibri" w:cs="Calibri"/>
          <w:b/>
          <w:bCs/>
          <w:color w:val="2F5496" w:themeColor="accent1" w:themeShade="BF"/>
        </w:rPr>
      </w:pPr>
    </w:p>
    <w:p w14:paraId="5AF8B00D" w14:textId="77777777" w:rsidR="00752146" w:rsidRDefault="00752146" w:rsidP="00315167">
      <w:pPr>
        <w:spacing w:after="0"/>
        <w:textAlignment w:val="baseline"/>
        <w:rPr>
          <w:rFonts w:ascii="Calibri" w:hAnsi="Calibri" w:cs="Calibri"/>
          <w:b/>
          <w:bCs/>
          <w:color w:val="2F5496" w:themeColor="accent1" w:themeShade="BF"/>
        </w:rPr>
      </w:pPr>
    </w:p>
    <w:p w14:paraId="7CAB8790" w14:textId="77777777" w:rsidR="00752146" w:rsidRDefault="00752146" w:rsidP="00315167">
      <w:pPr>
        <w:spacing w:after="0"/>
        <w:textAlignment w:val="baseline"/>
        <w:rPr>
          <w:rFonts w:ascii="Calibri" w:hAnsi="Calibri" w:cs="Calibri"/>
          <w:b/>
          <w:bCs/>
          <w:color w:val="2F5496" w:themeColor="accent1" w:themeShade="BF"/>
        </w:rPr>
      </w:pPr>
    </w:p>
    <w:p w14:paraId="55962CFE" w14:textId="77777777" w:rsidR="00752146" w:rsidRDefault="00752146" w:rsidP="00315167">
      <w:pPr>
        <w:spacing w:after="0"/>
        <w:textAlignment w:val="baseline"/>
        <w:rPr>
          <w:rFonts w:ascii="Calibri" w:hAnsi="Calibri" w:cs="Calibri"/>
          <w:b/>
          <w:bCs/>
          <w:color w:val="2F5496" w:themeColor="accent1" w:themeShade="BF"/>
        </w:rPr>
      </w:pPr>
    </w:p>
    <w:p w14:paraId="74BE6984" w14:textId="77777777" w:rsidR="00752146" w:rsidRDefault="00752146" w:rsidP="00315167">
      <w:pPr>
        <w:spacing w:after="0"/>
        <w:textAlignment w:val="baseline"/>
        <w:rPr>
          <w:rFonts w:ascii="Calibri" w:hAnsi="Calibri" w:cs="Calibri"/>
          <w:b/>
          <w:bCs/>
          <w:color w:val="2F5496" w:themeColor="accent1" w:themeShade="BF"/>
        </w:rPr>
      </w:pPr>
    </w:p>
    <w:p w14:paraId="68E75B4F" w14:textId="77777777" w:rsidR="00752146" w:rsidRDefault="00752146" w:rsidP="00315167">
      <w:pPr>
        <w:spacing w:after="0"/>
        <w:textAlignment w:val="baseline"/>
        <w:rPr>
          <w:rFonts w:ascii="Calibri" w:hAnsi="Calibri" w:cs="Calibri"/>
          <w:b/>
          <w:bCs/>
          <w:color w:val="2F5496" w:themeColor="accent1" w:themeShade="BF"/>
        </w:rPr>
      </w:pPr>
    </w:p>
    <w:p w14:paraId="31535D2C" w14:textId="77777777" w:rsidR="00752146" w:rsidRDefault="00752146" w:rsidP="00315167">
      <w:pPr>
        <w:spacing w:after="0"/>
        <w:textAlignment w:val="baseline"/>
        <w:rPr>
          <w:rFonts w:ascii="Calibri" w:hAnsi="Calibri" w:cs="Calibri"/>
          <w:b/>
          <w:bCs/>
          <w:color w:val="2F5496" w:themeColor="accent1" w:themeShade="BF"/>
        </w:rPr>
      </w:pPr>
    </w:p>
    <w:p w14:paraId="7B8FF44C" w14:textId="77777777" w:rsidR="00752146" w:rsidRDefault="00752146" w:rsidP="00315167">
      <w:pPr>
        <w:spacing w:after="0"/>
        <w:textAlignment w:val="baseline"/>
        <w:rPr>
          <w:rFonts w:ascii="Calibri" w:hAnsi="Calibri" w:cs="Calibri"/>
          <w:b/>
          <w:bCs/>
          <w:color w:val="2F5496" w:themeColor="accent1" w:themeShade="BF"/>
        </w:rPr>
      </w:pPr>
    </w:p>
    <w:p w14:paraId="686EADAF" w14:textId="77777777" w:rsidR="00752146" w:rsidRDefault="00752146" w:rsidP="00315167">
      <w:pPr>
        <w:spacing w:after="0"/>
        <w:textAlignment w:val="baseline"/>
        <w:rPr>
          <w:rFonts w:ascii="Calibri" w:hAnsi="Calibri" w:cs="Calibri"/>
          <w:b/>
          <w:bCs/>
          <w:color w:val="2F5496" w:themeColor="accent1" w:themeShade="BF"/>
        </w:rPr>
      </w:pPr>
    </w:p>
    <w:p w14:paraId="1117DE22" w14:textId="77777777" w:rsidR="00752146" w:rsidRDefault="00752146" w:rsidP="00315167">
      <w:pPr>
        <w:spacing w:after="0"/>
        <w:textAlignment w:val="baseline"/>
        <w:rPr>
          <w:rFonts w:ascii="Calibri" w:hAnsi="Calibri" w:cs="Calibri"/>
          <w:b/>
          <w:bCs/>
          <w:color w:val="2F5496" w:themeColor="accent1" w:themeShade="BF"/>
        </w:rPr>
      </w:pPr>
    </w:p>
    <w:p w14:paraId="43CFC803" w14:textId="77777777" w:rsidR="00752146" w:rsidRDefault="00752146" w:rsidP="00315167">
      <w:pPr>
        <w:spacing w:after="0"/>
        <w:textAlignment w:val="baseline"/>
        <w:rPr>
          <w:rFonts w:ascii="Calibri" w:hAnsi="Calibri" w:cs="Calibri"/>
          <w:b/>
          <w:bCs/>
          <w:color w:val="2F5496" w:themeColor="accent1" w:themeShade="BF"/>
        </w:rPr>
      </w:pPr>
    </w:p>
    <w:p w14:paraId="45192022" w14:textId="77777777" w:rsidR="00752146" w:rsidRDefault="00752146" w:rsidP="00315167">
      <w:pPr>
        <w:spacing w:after="0"/>
        <w:textAlignment w:val="baseline"/>
        <w:rPr>
          <w:rFonts w:ascii="Calibri" w:hAnsi="Calibri" w:cs="Calibri"/>
          <w:b/>
          <w:bCs/>
          <w:color w:val="2F5496" w:themeColor="accent1" w:themeShade="BF"/>
        </w:rPr>
      </w:pPr>
    </w:p>
    <w:p w14:paraId="47CDF440" w14:textId="77777777" w:rsidR="00752146" w:rsidRDefault="00752146" w:rsidP="00315167">
      <w:pPr>
        <w:spacing w:after="0"/>
        <w:textAlignment w:val="baseline"/>
        <w:rPr>
          <w:rFonts w:ascii="Calibri" w:hAnsi="Calibri" w:cs="Calibri"/>
          <w:b/>
          <w:bCs/>
          <w:color w:val="2F5496" w:themeColor="accent1" w:themeShade="BF"/>
        </w:rPr>
      </w:pPr>
    </w:p>
    <w:p w14:paraId="3EB97D57" w14:textId="77777777" w:rsidR="00752146" w:rsidRDefault="00752146" w:rsidP="00315167">
      <w:pPr>
        <w:spacing w:after="0"/>
        <w:textAlignment w:val="baseline"/>
        <w:rPr>
          <w:rFonts w:ascii="Calibri" w:hAnsi="Calibri" w:cs="Calibri"/>
          <w:b/>
          <w:bCs/>
          <w:color w:val="2F5496" w:themeColor="accent1" w:themeShade="BF"/>
        </w:rPr>
      </w:pPr>
    </w:p>
    <w:p w14:paraId="4031B6EE" w14:textId="77777777" w:rsidR="00752146" w:rsidRDefault="00752146" w:rsidP="00315167">
      <w:pPr>
        <w:spacing w:after="0"/>
        <w:textAlignment w:val="baseline"/>
        <w:rPr>
          <w:rFonts w:ascii="Calibri" w:hAnsi="Calibri" w:cs="Calibri"/>
          <w:b/>
          <w:bCs/>
          <w:color w:val="2F5496" w:themeColor="accent1" w:themeShade="BF"/>
        </w:rPr>
      </w:pPr>
    </w:p>
    <w:p w14:paraId="13153CE4" w14:textId="77777777" w:rsidR="00752146" w:rsidRDefault="00752146" w:rsidP="00315167">
      <w:pPr>
        <w:spacing w:after="0"/>
        <w:textAlignment w:val="baseline"/>
        <w:rPr>
          <w:rFonts w:ascii="Calibri" w:hAnsi="Calibri" w:cs="Calibri"/>
          <w:b/>
          <w:bCs/>
          <w:color w:val="2F5496" w:themeColor="accent1" w:themeShade="BF"/>
        </w:rPr>
      </w:pPr>
    </w:p>
    <w:p w14:paraId="7C15BC52" w14:textId="77777777" w:rsidR="00752146" w:rsidRDefault="00752146" w:rsidP="00315167">
      <w:pPr>
        <w:spacing w:after="0"/>
        <w:textAlignment w:val="baseline"/>
        <w:rPr>
          <w:rFonts w:ascii="Calibri" w:hAnsi="Calibri" w:cs="Calibri"/>
          <w:b/>
          <w:bCs/>
          <w:color w:val="2F5496" w:themeColor="accent1" w:themeShade="BF"/>
        </w:rPr>
      </w:pPr>
      <w:bookmarkStart w:id="0" w:name="NO1"/>
    </w:p>
    <w:p w14:paraId="0B2EE868" w14:textId="77777777" w:rsidR="00752146" w:rsidRDefault="00752146" w:rsidP="00315167">
      <w:pPr>
        <w:spacing w:after="0"/>
        <w:textAlignment w:val="baseline"/>
        <w:rPr>
          <w:rFonts w:ascii="Calibri" w:hAnsi="Calibri" w:cs="Calibri"/>
          <w:b/>
          <w:bCs/>
          <w:color w:val="2F5496" w:themeColor="accent1" w:themeShade="BF"/>
        </w:rPr>
      </w:pPr>
    </w:p>
    <w:p w14:paraId="66173AA4" w14:textId="54AAF198" w:rsid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1.</w:t>
      </w:r>
      <w:r w:rsidRPr="00842ED2">
        <w:rPr>
          <w:rFonts w:ascii="Calibri" w:hAnsi="Calibri" w:cs="Calibri"/>
          <w:b/>
          <w:bCs/>
          <w:color w:val="000000" w:themeColor="text1"/>
        </w:rPr>
        <w:t>BMA's Private Practice Committee (PPC) Summer 2025 Newsletter</w:t>
      </w:r>
    </w:p>
    <w:bookmarkEnd w:id="0"/>
    <w:p w14:paraId="3F35B9AC"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2431A5DB"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Please find attached PPC’s Summer 2025 newsletter full of all the committee’s news including details of the forthcoming November conference, the private practice campaign, BMA Health, PPC’s liaison meeting with Bupa and a market research co creation workshop inviting members and non-members to take part.</w:t>
      </w:r>
    </w:p>
    <w:p w14:paraId="290A3A3E" w14:textId="77777777" w:rsidR="00752146" w:rsidRPr="00842ED2" w:rsidRDefault="00752146" w:rsidP="00315167">
      <w:pPr>
        <w:spacing w:after="0"/>
        <w:textAlignment w:val="baseline"/>
        <w:rPr>
          <w:rFonts w:ascii="Calibri" w:hAnsi="Calibri" w:cs="Calibri"/>
          <w:color w:val="000000" w:themeColor="text1"/>
        </w:rPr>
      </w:pPr>
    </w:p>
    <w:p w14:paraId="475FFF12" w14:textId="77777777" w:rsidR="00752146" w:rsidRDefault="00752146" w:rsidP="00315167">
      <w:pPr>
        <w:spacing w:after="0"/>
        <w:textAlignment w:val="baseline"/>
        <w:rPr>
          <w:rFonts w:ascii="Calibri" w:hAnsi="Calibri" w:cs="Calibri"/>
          <w:b/>
          <w:bCs/>
          <w:color w:val="2F5496" w:themeColor="accent1" w:themeShade="BF"/>
        </w:rPr>
      </w:pPr>
    </w:p>
    <w:p w14:paraId="673FE406" w14:textId="77777777" w:rsidR="00752146" w:rsidRDefault="00752146" w:rsidP="00315167">
      <w:pPr>
        <w:spacing w:after="0"/>
        <w:textAlignment w:val="baseline"/>
        <w:rPr>
          <w:rFonts w:ascii="Calibri" w:hAnsi="Calibri" w:cs="Calibri"/>
          <w:b/>
          <w:bCs/>
          <w:color w:val="2F5496" w:themeColor="accent1" w:themeShade="BF"/>
        </w:rPr>
      </w:pPr>
    </w:p>
    <w:p w14:paraId="54185DD2" w14:textId="77777777" w:rsidR="00752146" w:rsidRDefault="00752146" w:rsidP="00315167">
      <w:pPr>
        <w:spacing w:after="0"/>
        <w:textAlignment w:val="baseline"/>
        <w:rPr>
          <w:rFonts w:ascii="Calibri" w:hAnsi="Calibri" w:cs="Calibri"/>
          <w:b/>
          <w:bCs/>
          <w:color w:val="2F5496" w:themeColor="accent1" w:themeShade="BF"/>
        </w:rPr>
      </w:pPr>
    </w:p>
    <w:p w14:paraId="1304479D" w14:textId="71B697F2" w:rsid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 w:name="NO2"/>
      <w:r>
        <w:rPr>
          <w:rFonts w:ascii="Calibri" w:hAnsi="Calibri" w:cs="Calibri"/>
          <w:b/>
          <w:bCs/>
          <w:color w:val="000000" w:themeColor="text1"/>
        </w:rPr>
        <w:t>2.</w:t>
      </w:r>
      <w:r w:rsidRPr="00842ED2">
        <w:rPr>
          <w:rFonts w:ascii="Calibri" w:hAnsi="Calibri" w:cs="Calibri"/>
          <w:b/>
          <w:bCs/>
          <w:color w:val="000000" w:themeColor="text1"/>
        </w:rPr>
        <w:t>OpenSAFELY Data Provision Notice</w:t>
      </w:r>
    </w:p>
    <w:bookmarkEnd w:id="1"/>
    <w:p w14:paraId="0A345BAB"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263C00DE"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 xml:space="preserve">Please find attached a PDF file presentation with some explanatory notes about the </w:t>
      </w:r>
      <w:proofErr w:type="spellStart"/>
      <w:r w:rsidRPr="00842ED2">
        <w:rPr>
          <w:rFonts w:ascii="Calibri" w:hAnsi="Calibri" w:cs="Calibri"/>
          <w:color w:val="000000" w:themeColor="text1"/>
        </w:rPr>
        <w:t>OpenSAFELY</w:t>
      </w:r>
      <w:proofErr w:type="spellEnd"/>
      <w:r w:rsidRPr="00842ED2">
        <w:rPr>
          <w:rFonts w:ascii="Calibri" w:hAnsi="Calibri" w:cs="Calibri"/>
          <w:color w:val="000000" w:themeColor="text1"/>
        </w:rPr>
        <w:t xml:space="preserve"> service. Pages 7-9 show screen grabs of how to select the correct option to turn on the service at a practice level in TPP and EMIS. Not all users will have the required level of access to see these </w:t>
      </w:r>
      <w:proofErr w:type="gramStart"/>
      <w:r w:rsidRPr="00842ED2">
        <w:rPr>
          <w:rFonts w:ascii="Calibri" w:hAnsi="Calibri" w:cs="Calibri"/>
          <w:color w:val="000000" w:themeColor="text1"/>
        </w:rPr>
        <w:t>screens</w:t>
      </w:r>
      <w:proofErr w:type="gramEnd"/>
      <w:r w:rsidRPr="00842ED2">
        <w:rPr>
          <w:rFonts w:ascii="Calibri" w:hAnsi="Calibri" w:cs="Calibri"/>
          <w:color w:val="000000" w:themeColor="text1"/>
        </w:rPr>
        <w:t xml:space="preserve"> but the practice manager should be able to.</w:t>
      </w:r>
    </w:p>
    <w:p w14:paraId="77075CCD" w14:textId="39B55732" w:rsidR="00752146" w:rsidRPr="00842ED2" w:rsidRDefault="00752146" w:rsidP="00315167">
      <w:pPr>
        <w:spacing w:after="0"/>
        <w:textAlignment w:val="baseline"/>
        <w:rPr>
          <w:rFonts w:ascii="Calibri" w:hAnsi="Calibri" w:cs="Calibri"/>
          <w:color w:val="000000" w:themeColor="text1"/>
        </w:rPr>
      </w:pPr>
    </w:p>
    <w:p w14:paraId="7E177DA9" w14:textId="77777777" w:rsidR="00752146" w:rsidRDefault="00752146" w:rsidP="00315167">
      <w:pPr>
        <w:spacing w:after="0"/>
        <w:textAlignment w:val="baseline"/>
        <w:rPr>
          <w:rFonts w:ascii="Calibri" w:hAnsi="Calibri" w:cs="Calibri"/>
          <w:b/>
          <w:bCs/>
          <w:color w:val="2F5496" w:themeColor="accent1" w:themeShade="BF"/>
        </w:rPr>
      </w:pPr>
    </w:p>
    <w:p w14:paraId="1192C9D5" w14:textId="04911280" w:rsidR="00842ED2" w:rsidRDefault="00FD0191"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2" w:name="NO3"/>
      <w:r>
        <w:rPr>
          <w:rFonts w:ascii="Calibri" w:hAnsi="Calibri" w:cs="Calibri"/>
          <w:b/>
          <w:bCs/>
          <w:color w:val="000000" w:themeColor="text1"/>
        </w:rPr>
        <w:t>3</w:t>
      </w:r>
      <w:r w:rsidR="00842ED2">
        <w:rPr>
          <w:rFonts w:ascii="Calibri" w:hAnsi="Calibri" w:cs="Calibri"/>
          <w:b/>
          <w:bCs/>
          <w:color w:val="000000" w:themeColor="text1"/>
        </w:rPr>
        <w:t>.</w:t>
      </w:r>
      <w:r w:rsidR="00842ED2" w:rsidRPr="00842ED2">
        <w:rPr>
          <w:rFonts w:ascii="Calibri" w:hAnsi="Calibri" w:cs="Calibri"/>
          <w:b/>
          <w:bCs/>
          <w:color w:val="000000" w:themeColor="text1"/>
        </w:rPr>
        <w:t>Publication of the 2025/26 seasonal flu vaccination service specifications for general practice and community pharmacy </w:t>
      </w:r>
    </w:p>
    <w:bookmarkEnd w:id="2"/>
    <w:p w14:paraId="681E7E96"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755A893" w14:textId="77777777" w:rsid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NHS England has published the following service specifications for the 2025/26 seasonal influenza vaccination campaign:</w:t>
      </w:r>
    </w:p>
    <w:p w14:paraId="365D5D33"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C30F215"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11" w:history="1">
        <w:r w:rsidRPr="00842ED2">
          <w:rPr>
            <w:rStyle w:val="Hyperlink"/>
            <w:rFonts w:ascii="Calibri" w:hAnsi="Calibri" w:cs="Calibri"/>
          </w:rPr>
          <w:t>GP Enhanced Service specification (adults &amp; at-risk)</w:t>
        </w:r>
      </w:hyperlink>
    </w:p>
    <w:p w14:paraId="3CC3F1EF"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12" w:history="1">
        <w:r w:rsidRPr="00842ED2">
          <w:rPr>
            <w:rStyle w:val="Hyperlink"/>
            <w:rFonts w:ascii="Calibri" w:hAnsi="Calibri" w:cs="Calibri"/>
          </w:rPr>
          <w:t>GP Enhanced Service specification (childhood)</w:t>
        </w:r>
      </w:hyperlink>
    </w:p>
    <w:p w14:paraId="442543A7"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13" w:history="1">
        <w:r w:rsidRPr="00842ED2">
          <w:rPr>
            <w:rStyle w:val="Hyperlink"/>
            <w:rFonts w:ascii="Calibri" w:hAnsi="Calibri" w:cs="Calibri"/>
          </w:rPr>
          <w:t>Flu Collaboration Agreement</w:t>
        </w:r>
      </w:hyperlink>
    </w:p>
    <w:p w14:paraId="64A131BC"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14" w:history="1">
        <w:r w:rsidRPr="00842ED2">
          <w:rPr>
            <w:rStyle w:val="Hyperlink"/>
            <w:rFonts w:ascii="Calibri" w:hAnsi="Calibri" w:cs="Calibri"/>
          </w:rPr>
          <w:t>GP additional guidance on recording flu vaccination events, payments and collaboration</w:t>
        </w:r>
      </w:hyperlink>
    </w:p>
    <w:p w14:paraId="16FDF1DC" w14:textId="77777777" w:rsid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15" w:history="1">
        <w:r w:rsidRPr="00842ED2">
          <w:rPr>
            <w:rStyle w:val="Hyperlink"/>
            <w:rFonts w:ascii="Calibri" w:hAnsi="Calibri" w:cs="Calibri"/>
          </w:rPr>
          <w:t>Community pharmacy Advanced Service specification</w:t>
        </w:r>
      </w:hyperlink>
    </w:p>
    <w:p w14:paraId="790477AD"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734425D" w14:textId="77777777" w:rsid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Only minor updates have been made from last year’s versions and payment arrangements remain the same.</w:t>
      </w:r>
    </w:p>
    <w:p w14:paraId="5675C6A6"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AE2C187"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 xml:space="preserve">For further information about this year’s flu programme, please see the annual </w:t>
      </w:r>
      <w:hyperlink r:id="rId16" w:history="1">
        <w:r w:rsidRPr="00842ED2">
          <w:rPr>
            <w:rStyle w:val="Hyperlink"/>
            <w:rFonts w:ascii="Calibri" w:hAnsi="Calibri" w:cs="Calibri"/>
          </w:rPr>
          <w:t>Flu Letter</w:t>
        </w:r>
      </w:hyperlink>
      <w:r w:rsidRPr="00842ED2">
        <w:rPr>
          <w:rFonts w:ascii="Calibri" w:hAnsi="Calibri" w:cs="Calibri"/>
          <w:color w:val="000000" w:themeColor="text1"/>
        </w:rPr>
        <w:t>.</w:t>
      </w:r>
    </w:p>
    <w:p w14:paraId="40252D79" w14:textId="77777777" w:rsidR="00752146" w:rsidRPr="00842ED2" w:rsidRDefault="00752146" w:rsidP="00315167">
      <w:pPr>
        <w:spacing w:after="0"/>
        <w:textAlignment w:val="baseline"/>
        <w:rPr>
          <w:rFonts w:ascii="Calibri" w:hAnsi="Calibri" w:cs="Calibri"/>
          <w:color w:val="000000" w:themeColor="text1"/>
        </w:rPr>
      </w:pPr>
    </w:p>
    <w:p w14:paraId="6E6326F2" w14:textId="77777777" w:rsidR="00752146" w:rsidRDefault="00752146" w:rsidP="00315167">
      <w:pPr>
        <w:spacing w:after="0"/>
        <w:textAlignment w:val="baseline"/>
        <w:rPr>
          <w:rFonts w:ascii="Calibri" w:hAnsi="Calibri" w:cs="Calibri"/>
          <w:b/>
          <w:bCs/>
          <w:color w:val="2F5496" w:themeColor="accent1" w:themeShade="BF"/>
        </w:rPr>
      </w:pPr>
    </w:p>
    <w:p w14:paraId="0CB7A6CD" w14:textId="4DC03A1D" w:rsidR="00842ED2" w:rsidRDefault="00FD0191"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3" w:name="NO4"/>
      <w:r>
        <w:rPr>
          <w:rFonts w:ascii="Calibri" w:hAnsi="Calibri" w:cs="Calibri"/>
          <w:b/>
          <w:bCs/>
          <w:color w:val="000000" w:themeColor="text1"/>
        </w:rPr>
        <w:t>4</w:t>
      </w:r>
      <w:r w:rsidR="00842ED2">
        <w:rPr>
          <w:rFonts w:ascii="Calibri" w:hAnsi="Calibri" w:cs="Calibri"/>
          <w:b/>
          <w:bCs/>
          <w:color w:val="000000" w:themeColor="text1"/>
        </w:rPr>
        <w:t>.</w:t>
      </w:r>
      <w:r w:rsidR="00842ED2" w:rsidRPr="00842ED2">
        <w:rPr>
          <w:rFonts w:ascii="Calibri" w:hAnsi="Calibri" w:cs="Calibri"/>
          <w:b/>
          <w:bCs/>
          <w:color w:val="000000" w:themeColor="text1"/>
        </w:rPr>
        <w:t>National HPV vaccination catch-up campaign for 2025/26</w:t>
      </w:r>
    </w:p>
    <w:bookmarkEnd w:id="3"/>
    <w:p w14:paraId="1F07CD43"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C86AC9C" w14:textId="77777777" w:rsid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 xml:space="preserve">The 2025/26 </w:t>
      </w:r>
      <w:hyperlink r:id="rId17" w:history="1">
        <w:r w:rsidRPr="00842ED2">
          <w:rPr>
            <w:rStyle w:val="Hyperlink"/>
            <w:rFonts w:ascii="Calibri" w:hAnsi="Calibri" w:cs="Calibri"/>
          </w:rPr>
          <w:t>GP vaccination campaign</w:t>
        </w:r>
      </w:hyperlink>
      <w:r w:rsidRPr="00842ED2">
        <w:rPr>
          <w:rFonts w:ascii="Calibri" w:hAnsi="Calibri" w:cs="Calibri"/>
          <w:color w:val="000000" w:themeColor="text1"/>
        </w:rPr>
        <w:t xml:space="preserve"> is focused on HPV catch-up for 14-24-year-olds (inclusive). This aims to address declines, reduce variation in uptake and subsequent cancer prevalence.</w:t>
      </w:r>
    </w:p>
    <w:p w14:paraId="23585500"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598C7F8" w14:textId="77777777" w:rsid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Practices are asked to: </w:t>
      </w:r>
    </w:p>
    <w:p w14:paraId="644C5D3E"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13C5321"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Check all eligible patient immunisation records have been updated following notification of vaccination events </w:t>
      </w:r>
    </w:p>
    <w:p w14:paraId="624DF141"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Invite those identified as unvaccinated aged 16-24 (inclusive) for vaccination</w:t>
      </w:r>
    </w:p>
    <w:p w14:paraId="632D2367"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Update records for patients who do not respond to invites or attend appointments </w:t>
      </w:r>
    </w:p>
    <w:p w14:paraId="55B4099F" w14:textId="77777777" w:rsid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Continue to offer opportunistic vaccination to anyone currently unvaccinated aged 14 or over</w:t>
      </w:r>
    </w:p>
    <w:p w14:paraId="3F07BB5D"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6E2057B"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This campaign runs until 31 March 2026.</w:t>
      </w:r>
      <w:r w:rsidRPr="00842ED2">
        <w:rPr>
          <w:rFonts w:ascii="Calibri" w:hAnsi="Calibri" w:cs="Calibri"/>
          <w:b/>
          <w:bCs/>
          <w:color w:val="000000" w:themeColor="text1"/>
        </w:rPr>
        <w:t> </w:t>
      </w:r>
    </w:p>
    <w:p w14:paraId="0443A2AB" w14:textId="77777777" w:rsidR="00752146" w:rsidRPr="00842ED2" w:rsidRDefault="00752146" w:rsidP="00315167">
      <w:pPr>
        <w:spacing w:after="0"/>
        <w:textAlignment w:val="baseline"/>
        <w:rPr>
          <w:rFonts w:ascii="Calibri" w:hAnsi="Calibri" w:cs="Calibri"/>
          <w:color w:val="000000" w:themeColor="text1"/>
        </w:rPr>
      </w:pPr>
    </w:p>
    <w:p w14:paraId="4D1EE360" w14:textId="77777777" w:rsidR="00752146" w:rsidRDefault="00752146" w:rsidP="00315167">
      <w:pPr>
        <w:spacing w:after="0"/>
        <w:textAlignment w:val="baseline"/>
        <w:rPr>
          <w:rFonts w:ascii="Calibri" w:hAnsi="Calibri" w:cs="Calibri"/>
          <w:b/>
          <w:bCs/>
          <w:color w:val="2F5496" w:themeColor="accent1" w:themeShade="BF"/>
        </w:rPr>
      </w:pPr>
    </w:p>
    <w:p w14:paraId="3819B627" w14:textId="77777777" w:rsidR="00752146" w:rsidRDefault="00752146" w:rsidP="00315167">
      <w:pPr>
        <w:spacing w:after="0"/>
        <w:textAlignment w:val="baseline"/>
        <w:rPr>
          <w:rFonts w:ascii="Calibri" w:hAnsi="Calibri" w:cs="Calibri"/>
          <w:b/>
          <w:bCs/>
          <w:color w:val="2F5496" w:themeColor="accent1" w:themeShade="BF"/>
        </w:rPr>
      </w:pPr>
      <w:bookmarkStart w:id="4" w:name="NO5"/>
    </w:p>
    <w:p w14:paraId="7FBB5B39" w14:textId="3D268A49" w:rsidR="00842ED2" w:rsidRDefault="00FD0191"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5</w:t>
      </w:r>
      <w:r w:rsidR="00842ED2">
        <w:rPr>
          <w:rFonts w:ascii="Calibri" w:hAnsi="Calibri" w:cs="Calibri"/>
          <w:b/>
          <w:bCs/>
          <w:color w:val="000000" w:themeColor="text1"/>
        </w:rPr>
        <w:t>.</w:t>
      </w:r>
      <w:r w:rsidR="00842ED2" w:rsidRPr="00842ED2">
        <w:rPr>
          <w:rFonts w:ascii="Calibri" w:hAnsi="Calibri" w:cs="Calibri"/>
          <w:b/>
          <w:bCs/>
          <w:color w:val="000000" w:themeColor="text1"/>
        </w:rPr>
        <w:t>MMR vaccinations for practice staff </w:t>
      </w:r>
    </w:p>
    <w:bookmarkEnd w:id="4"/>
    <w:p w14:paraId="7E3CB375"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1A79D5B" w14:textId="77777777" w:rsid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 xml:space="preserve">Due to the recent measles outbreaks, GP practices are permitted to administer MMR vaccines to their eligible staff who are registered with another practice under INT (immediately necessary treatment). This is a time limited arrangement from 1 August 2025 until 31 March 2026. Completing doses must be administered in accordance with the recommended intervals in the </w:t>
      </w:r>
      <w:hyperlink r:id="rId18" w:history="1">
        <w:r w:rsidRPr="00842ED2">
          <w:rPr>
            <w:rStyle w:val="Hyperlink"/>
            <w:rFonts w:ascii="Calibri" w:hAnsi="Calibri" w:cs="Calibri"/>
          </w:rPr>
          <w:t>Green Book</w:t>
        </w:r>
      </w:hyperlink>
      <w:r w:rsidRPr="00842ED2">
        <w:rPr>
          <w:rFonts w:ascii="Calibri" w:hAnsi="Calibri" w:cs="Calibri"/>
          <w:color w:val="000000" w:themeColor="text1"/>
        </w:rPr>
        <w:t xml:space="preserve"> and by 31 March 2026.</w:t>
      </w:r>
    </w:p>
    <w:p w14:paraId="754806A4" w14:textId="77777777" w:rsidR="00842ED2"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61A0DB3" w14:textId="264C8B72" w:rsidR="00752146" w:rsidRPr="00842ED2" w:rsidRDefault="00842ED2" w:rsidP="00842ED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42ED2">
        <w:rPr>
          <w:rFonts w:ascii="Calibri" w:hAnsi="Calibri" w:cs="Calibri"/>
          <w:color w:val="000000" w:themeColor="text1"/>
        </w:rPr>
        <w:t>An item of service fee cannot be claimed for MMR vaccines administered to staff registered with another practice. However, indemnity cover will be provided through the Clinical Negligence Scheme for General Practice (CNSGP</w:t>
      </w:r>
      <w:proofErr w:type="gramStart"/>
      <w:r w:rsidRPr="00842ED2">
        <w:rPr>
          <w:rFonts w:ascii="Calibri" w:hAnsi="Calibri" w:cs="Calibri"/>
          <w:color w:val="000000" w:themeColor="text1"/>
        </w:rPr>
        <w:t>)</w:t>
      </w:r>
      <w:proofErr w:type="gramEnd"/>
      <w:r w:rsidRPr="00842ED2">
        <w:rPr>
          <w:rFonts w:ascii="Calibri" w:hAnsi="Calibri" w:cs="Calibri"/>
          <w:color w:val="000000" w:themeColor="text1"/>
        </w:rPr>
        <w:t xml:space="preserve"> and nationally supplied MMR stock can be used. Staff must be strongly encouraged to inform their registered practice that they have received an MMR vaccine, requesting it be included in their medical record. NHS Resolution will shortly update its </w:t>
      </w:r>
      <w:hyperlink r:id="rId19" w:history="1">
        <w:r w:rsidRPr="00842ED2">
          <w:rPr>
            <w:rStyle w:val="Hyperlink"/>
            <w:rFonts w:ascii="Calibri" w:hAnsi="Calibri" w:cs="Calibri"/>
          </w:rPr>
          <w:t>website</w:t>
        </w:r>
      </w:hyperlink>
      <w:r w:rsidRPr="00842ED2">
        <w:rPr>
          <w:rFonts w:ascii="Calibri" w:hAnsi="Calibri" w:cs="Calibri"/>
          <w:color w:val="000000" w:themeColor="text1"/>
        </w:rPr>
        <w:t xml:space="preserve"> to confirm these temporary arrangements.</w:t>
      </w:r>
    </w:p>
    <w:p w14:paraId="0F560A93" w14:textId="77777777" w:rsidR="00752146" w:rsidRDefault="00752146" w:rsidP="00315167">
      <w:pPr>
        <w:spacing w:after="0"/>
        <w:textAlignment w:val="baseline"/>
        <w:rPr>
          <w:rFonts w:ascii="Calibri" w:hAnsi="Calibri" w:cs="Calibri"/>
          <w:b/>
          <w:bCs/>
          <w:color w:val="2F5496" w:themeColor="accent1" w:themeShade="BF"/>
        </w:rPr>
      </w:pPr>
    </w:p>
    <w:p w14:paraId="2377BF80" w14:textId="77777777" w:rsidR="00752146" w:rsidRDefault="00752146" w:rsidP="00315167">
      <w:pPr>
        <w:spacing w:after="0"/>
        <w:textAlignment w:val="baseline"/>
        <w:rPr>
          <w:rFonts w:ascii="Calibri" w:hAnsi="Calibri" w:cs="Calibri"/>
          <w:b/>
          <w:bCs/>
          <w:color w:val="2F5496" w:themeColor="accent1" w:themeShade="BF"/>
        </w:rPr>
      </w:pPr>
    </w:p>
    <w:p w14:paraId="7551642D" w14:textId="2735D5DE" w:rsidR="00752146" w:rsidRDefault="00FD0191"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5" w:name="NO6"/>
      <w:r>
        <w:rPr>
          <w:rFonts w:ascii="Calibri" w:hAnsi="Calibri" w:cs="Calibri"/>
          <w:b/>
          <w:bCs/>
          <w:color w:val="000000" w:themeColor="text1"/>
        </w:rPr>
        <w:t>6</w:t>
      </w:r>
      <w:r w:rsidR="00914F43" w:rsidRPr="00914F43">
        <w:rPr>
          <w:rFonts w:ascii="Calibri" w:hAnsi="Calibri" w:cs="Calibri"/>
          <w:b/>
          <w:bCs/>
          <w:color w:val="000000" w:themeColor="text1"/>
        </w:rPr>
        <w:t xml:space="preserve">. Please see attached </w:t>
      </w:r>
      <w:r w:rsidR="00914F43" w:rsidRPr="00914F43">
        <w:rPr>
          <w:rFonts w:ascii="Calibri" w:hAnsi="Calibri" w:cs="Calibri"/>
          <w:b/>
          <w:bCs/>
          <w:color w:val="000000" w:themeColor="text1"/>
        </w:rPr>
        <w:t xml:space="preserve">GPC England update to </w:t>
      </w:r>
      <w:proofErr w:type="gramStart"/>
      <w:r w:rsidR="00914F43" w:rsidRPr="00914F43">
        <w:rPr>
          <w:rFonts w:ascii="Calibri" w:hAnsi="Calibri" w:cs="Calibri"/>
          <w:b/>
          <w:bCs/>
          <w:color w:val="000000" w:themeColor="text1"/>
        </w:rPr>
        <w:t>LMCs</w:t>
      </w:r>
      <w:r>
        <w:rPr>
          <w:rFonts w:ascii="Calibri" w:hAnsi="Calibri" w:cs="Calibri"/>
          <w:b/>
          <w:bCs/>
          <w:color w:val="000000" w:themeColor="text1"/>
        </w:rPr>
        <w:t>;</w:t>
      </w:r>
      <w:proofErr w:type="gramEnd"/>
    </w:p>
    <w:bookmarkEnd w:id="5"/>
    <w:p w14:paraId="6E7BD339" w14:textId="77777777" w:rsidR="00914F43"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3ACF315B" w14:textId="737D9148" w:rsidR="00914F43" w:rsidRPr="00FD0191"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D0191">
        <w:rPr>
          <w:rFonts w:ascii="Calibri" w:hAnsi="Calibri" w:cs="Calibri"/>
          <w:color w:val="000000" w:themeColor="text1"/>
        </w:rPr>
        <w:t xml:space="preserve">GPC England meeting and visit from Stephen Kinnock, Minister of State for Care </w:t>
      </w:r>
    </w:p>
    <w:p w14:paraId="07CF9F3E" w14:textId="69936DCA" w:rsidR="00914F43" w:rsidRPr="00FD0191"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D0191">
        <w:rPr>
          <w:rFonts w:ascii="Calibri" w:hAnsi="Calibri" w:cs="Calibri"/>
          <w:color w:val="000000" w:themeColor="text1"/>
        </w:rPr>
        <w:t>National Neighbourhood Health Implementation Programme (NNHIP) guidance</w:t>
      </w:r>
    </w:p>
    <w:p w14:paraId="707EE9C6" w14:textId="06DD4619" w:rsidR="00914F43" w:rsidRPr="00FD0191"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D0191">
        <w:rPr>
          <w:rFonts w:ascii="Calibri" w:hAnsi="Calibri" w:cs="Calibri"/>
          <w:color w:val="000000" w:themeColor="text1"/>
        </w:rPr>
        <w:t>Safe working guidance resources</w:t>
      </w:r>
    </w:p>
    <w:p w14:paraId="5C51D588" w14:textId="3F547DB8" w:rsidR="00914F43" w:rsidRPr="00FD0191"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D0191">
        <w:rPr>
          <w:rFonts w:ascii="Calibri" w:hAnsi="Calibri" w:cs="Calibri"/>
          <w:color w:val="000000" w:themeColor="text1"/>
        </w:rPr>
        <w:t xml:space="preserve">Focus on physician assistants </w:t>
      </w:r>
    </w:p>
    <w:p w14:paraId="5655028C" w14:textId="189FCA1D" w:rsidR="00914F43" w:rsidRPr="00FD0191"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D0191">
        <w:rPr>
          <w:rFonts w:ascii="Calibri" w:hAnsi="Calibri" w:cs="Calibri"/>
          <w:color w:val="000000" w:themeColor="text1"/>
        </w:rPr>
        <w:t>GPs in ARRS survey</w:t>
      </w:r>
    </w:p>
    <w:p w14:paraId="7D394844" w14:textId="719113F6" w:rsidR="00914F43" w:rsidRPr="00FD0191"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D0191">
        <w:rPr>
          <w:rFonts w:ascii="Calibri" w:hAnsi="Calibri" w:cs="Calibri"/>
          <w:color w:val="000000" w:themeColor="text1"/>
        </w:rPr>
        <w:t xml:space="preserve">Cell for participants for the Contract Reform focus groups </w:t>
      </w:r>
    </w:p>
    <w:p w14:paraId="530608ED" w14:textId="3F55C573" w:rsidR="00914F43" w:rsidRPr="00FD0191"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roofErr w:type="spellStart"/>
      <w:r w:rsidRPr="00FD0191">
        <w:rPr>
          <w:rFonts w:ascii="Calibri" w:hAnsi="Calibri" w:cs="Calibri"/>
          <w:color w:val="000000" w:themeColor="text1"/>
        </w:rPr>
        <w:t>OpenSAFELY</w:t>
      </w:r>
      <w:proofErr w:type="spellEnd"/>
      <w:r w:rsidRPr="00FD0191">
        <w:rPr>
          <w:rFonts w:ascii="Calibri" w:hAnsi="Calibri" w:cs="Calibri"/>
          <w:color w:val="000000" w:themeColor="text1"/>
        </w:rPr>
        <w:t xml:space="preserve"> Data Provision Notice </w:t>
      </w:r>
    </w:p>
    <w:p w14:paraId="73F30D53" w14:textId="4A24FEAC" w:rsidR="00914F43" w:rsidRPr="00FD0191"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D0191">
        <w:rPr>
          <w:rFonts w:ascii="Calibri" w:hAnsi="Calibri" w:cs="Calibri"/>
          <w:color w:val="000000" w:themeColor="text1"/>
        </w:rPr>
        <w:t xml:space="preserve">GP Premises Survey 2025 – final chance </w:t>
      </w:r>
    </w:p>
    <w:p w14:paraId="3E7DF84A" w14:textId="03A96582" w:rsidR="00914F43" w:rsidRPr="00FD0191"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D0191">
        <w:rPr>
          <w:rFonts w:ascii="Calibri" w:hAnsi="Calibri" w:cs="Calibri"/>
          <w:color w:val="000000" w:themeColor="text1"/>
        </w:rPr>
        <w:t xml:space="preserve">Seasonal Flu Programme </w:t>
      </w:r>
    </w:p>
    <w:p w14:paraId="045DEF2D" w14:textId="1A2AFD2F" w:rsidR="00914F43" w:rsidRPr="00FD0191"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D0191">
        <w:rPr>
          <w:rFonts w:ascii="Calibri" w:hAnsi="Calibri" w:cs="Calibri"/>
          <w:color w:val="000000" w:themeColor="text1"/>
        </w:rPr>
        <w:t xml:space="preserve">HPV catch-up campaign </w:t>
      </w:r>
    </w:p>
    <w:p w14:paraId="6D1F65F7" w14:textId="6AFB5B40" w:rsidR="00914F43" w:rsidRPr="00FD0191"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D0191">
        <w:rPr>
          <w:rFonts w:ascii="Calibri" w:hAnsi="Calibri" w:cs="Calibri"/>
          <w:color w:val="000000" w:themeColor="text1"/>
        </w:rPr>
        <w:t>MMR vaccination for practice staff</w:t>
      </w:r>
    </w:p>
    <w:p w14:paraId="43941E78" w14:textId="3C2072A3" w:rsidR="00914F43" w:rsidRPr="00FD0191" w:rsidRDefault="00914F43"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roofErr w:type="spellStart"/>
      <w:r w:rsidRPr="00FD0191">
        <w:rPr>
          <w:rFonts w:ascii="Calibri" w:hAnsi="Calibri" w:cs="Calibri"/>
          <w:color w:val="000000" w:themeColor="text1"/>
        </w:rPr>
        <w:t>Incl</w:t>
      </w:r>
      <w:r w:rsidR="00FD0191" w:rsidRPr="00FD0191">
        <w:rPr>
          <w:rFonts w:ascii="Calibri" w:hAnsi="Calibri" w:cs="Calibri"/>
          <w:color w:val="000000" w:themeColor="text1"/>
        </w:rPr>
        <w:t>isiran</w:t>
      </w:r>
      <w:proofErr w:type="spellEnd"/>
      <w:r w:rsidR="00FD0191" w:rsidRPr="00FD0191">
        <w:rPr>
          <w:rFonts w:ascii="Calibri" w:hAnsi="Calibri" w:cs="Calibri"/>
          <w:color w:val="000000" w:themeColor="text1"/>
        </w:rPr>
        <w:t xml:space="preserve"> reimbursement </w:t>
      </w:r>
    </w:p>
    <w:p w14:paraId="34CD7A08" w14:textId="0C3DF9EC" w:rsidR="00FD0191" w:rsidRPr="00FD0191" w:rsidRDefault="00FD0191"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D0191">
        <w:rPr>
          <w:rFonts w:ascii="Calibri" w:hAnsi="Calibri" w:cs="Calibri"/>
          <w:color w:val="000000" w:themeColor="text1"/>
        </w:rPr>
        <w:t xml:space="preserve">GP registers taking industrial action </w:t>
      </w:r>
    </w:p>
    <w:p w14:paraId="41AE6160" w14:textId="5F15FA8A" w:rsidR="00FD0191" w:rsidRPr="00FD0191" w:rsidRDefault="00FD0191" w:rsidP="00FD01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D0191">
        <w:rPr>
          <w:rFonts w:ascii="Calibri" w:hAnsi="Calibri" w:cs="Calibri"/>
          <w:color w:val="000000" w:themeColor="text1"/>
        </w:rPr>
        <w:t xml:space="preserve">GP wellbeing resources </w:t>
      </w:r>
    </w:p>
    <w:p w14:paraId="2E0CCAAE" w14:textId="77777777" w:rsidR="00752146" w:rsidRDefault="00752146" w:rsidP="00315167">
      <w:pPr>
        <w:spacing w:after="0"/>
        <w:textAlignment w:val="baseline"/>
        <w:rPr>
          <w:rFonts w:ascii="Calibri" w:hAnsi="Calibri" w:cs="Calibri"/>
          <w:b/>
          <w:bCs/>
          <w:color w:val="2F5496" w:themeColor="accent1" w:themeShade="BF"/>
        </w:rPr>
      </w:pPr>
    </w:p>
    <w:p w14:paraId="7F223855" w14:textId="77777777" w:rsidR="00752146" w:rsidRPr="00076908" w:rsidRDefault="00752146"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0"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55DF9BE7" w14:textId="77777777" w:rsidR="00FD0191" w:rsidRDefault="00FD0191"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 xml:space="preserve">Please note that the LMC are unable to accept calls or hold communications with patients, we are GP representatives, and we would respectfully ask that Practices do not advise patients to contact </w:t>
      </w:r>
      <w:r>
        <w:rPr>
          <w:b/>
          <w:bCs/>
          <w:color w:val="FF0000"/>
        </w:rPr>
        <w:lastRenderedPageBreak/>
        <w:t>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1"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2"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3" w:history="1">
        <w:r w:rsidRPr="00C53DB4">
          <w:rPr>
            <w:rStyle w:val="Hyperlink"/>
            <w:rFonts w:cstheme="minorHAnsi"/>
            <w:b/>
            <w:bCs/>
          </w:rPr>
          <w:t>https://www.england.nhs.uk/</w:t>
        </w:r>
      </w:hyperlink>
    </w:p>
    <w:sectPr w:rsidR="00D14BAB" w:rsidSect="00A40293">
      <w:headerReference w:type="default" r:id="rId24"/>
      <w:footerReference w:type="default" r:id="rId25"/>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DD38F" w14:textId="77777777" w:rsidR="00C8694E" w:rsidRDefault="00C8694E" w:rsidP="001B4E81">
      <w:pPr>
        <w:spacing w:after="0" w:line="240" w:lineRule="auto"/>
      </w:pPr>
      <w:r>
        <w:separator/>
      </w:r>
    </w:p>
  </w:endnote>
  <w:endnote w:type="continuationSeparator" w:id="0">
    <w:p w14:paraId="303A5B78" w14:textId="77777777" w:rsidR="00C8694E" w:rsidRDefault="00C8694E" w:rsidP="001B4E81">
      <w:pPr>
        <w:spacing w:after="0" w:line="240" w:lineRule="auto"/>
      </w:pPr>
      <w:r>
        <w:continuationSeparator/>
      </w:r>
    </w:p>
  </w:endnote>
  <w:endnote w:type="continuationNotice" w:id="1">
    <w:p w14:paraId="60796D4C" w14:textId="77777777" w:rsidR="00C8694E" w:rsidRDefault="00C86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C39B" w14:textId="77777777" w:rsidR="00C8694E" w:rsidRDefault="00C8694E" w:rsidP="001B4E81">
      <w:pPr>
        <w:spacing w:after="0" w:line="240" w:lineRule="auto"/>
      </w:pPr>
      <w:r>
        <w:separator/>
      </w:r>
    </w:p>
  </w:footnote>
  <w:footnote w:type="continuationSeparator" w:id="0">
    <w:p w14:paraId="1D8E9288" w14:textId="77777777" w:rsidR="00C8694E" w:rsidRDefault="00C8694E" w:rsidP="001B4E81">
      <w:pPr>
        <w:spacing w:after="0" w:line="240" w:lineRule="auto"/>
      </w:pPr>
      <w:r>
        <w:continuationSeparator/>
      </w:r>
    </w:p>
  </w:footnote>
  <w:footnote w:type="continuationNotice" w:id="1">
    <w:p w14:paraId="46AB95D4" w14:textId="77777777" w:rsidR="00C8694E" w:rsidRDefault="00C869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C6"/>
    <w:multiLevelType w:val="hybridMultilevel"/>
    <w:tmpl w:val="96DE2B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92D3B70"/>
    <w:multiLevelType w:val="hybridMultilevel"/>
    <w:tmpl w:val="CFF228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E17B2E"/>
    <w:multiLevelType w:val="hybridMultilevel"/>
    <w:tmpl w:val="E6108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AFD4A4E"/>
    <w:multiLevelType w:val="hybridMultilevel"/>
    <w:tmpl w:val="15280916"/>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840B33"/>
    <w:multiLevelType w:val="hybridMultilevel"/>
    <w:tmpl w:val="F1DC16FE"/>
    <w:lvl w:ilvl="0" w:tplc="6E761E14">
      <w:start w:val="1"/>
      <w:numFmt w:val="bullet"/>
      <w:lvlText w:val=""/>
      <w:lvlJc w:val="left"/>
      <w:pPr>
        <w:ind w:left="720" w:hanging="360"/>
      </w:pPr>
      <w:rPr>
        <w:rFonts w:ascii="Symbol" w:hAnsi="Symbol" w:hint="default"/>
      </w:rPr>
    </w:lvl>
    <w:lvl w:ilvl="1" w:tplc="4E7C83F6">
      <w:start w:val="1"/>
      <w:numFmt w:val="bullet"/>
      <w:lvlText w:val="o"/>
      <w:lvlJc w:val="left"/>
      <w:pPr>
        <w:ind w:left="1440" w:hanging="360"/>
      </w:pPr>
      <w:rPr>
        <w:rFonts w:ascii="Courier New" w:hAnsi="Courier New" w:hint="default"/>
      </w:rPr>
    </w:lvl>
    <w:lvl w:ilvl="2" w:tplc="19E83CD0">
      <w:start w:val="1"/>
      <w:numFmt w:val="bullet"/>
      <w:lvlText w:val=""/>
      <w:lvlJc w:val="left"/>
      <w:pPr>
        <w:ind w:left="2160" w:hanging="360"/>
      </w:pPr>
      <w:rPr>
        <w:rFonts w:ascii="Wingdings" w:hAnsi="Wingdings" w:hint="default"/>
      </w:rPr>
    </w:lvl>
    <w:lvl w:ilvl="3" w:tplc="79E497EC">
      <w:start w:val="1"/>
      <w:numFmt w:val="bullet"/>
      <w:lvlText w:val=""/>
      <w:lvlJc w:val="left"/>
      <w:pPr>
        <w:ind w:left="2880" w:hanging="360"/>
      </w:pPr>
      <w:rPr>
        <w:rFonts w:ascii="Symbol" w:hAnsi="Symbol" w:hint="default"/>
      </w:rPr>
    </w:lvl>
    <w:lvl w:ilvl="4" w:tplc="D5C8EB02">
      <w:start w:val="1"/>
      <w:numFmt w:val="bullet"/>
      <w:lvlText w:val="o"/>
      <w:lvlJc w:val="left"/>
      <w:pPr>
        <w:ind w:left="3600" w:hanging="360"/>
      </w:pPr>
      <w:rPr>
        <w:rFonts w:ascii="Courier New" w:hAnsi="Courier New" w:hint="default"/>
      </w:rPr>
    </w:lvl>
    <w:lvl w:ilvl="5" w:tplc="5E160D32">
      <w:start w:val="1"/>
      <w:numFmt w:val="bullet"/>
      <w:lvlText w:val=""/>
      <w:lvlJc w:val="left"/>
      <w:pPr>
        <w:ind w:left="4320" w:hanging="360"/>
      </w:pPr>
      <w:rPr>
        <w:rFonts w:ascii="Wingdings" w:hAnsi="Wingdings" w:hint="default"/>
      </w:rPr>
    </w:lvl>
    <w:lvl w:ilvl="6" w:tplc="8AAA3920">
      <w:start w:val="1"/>
      <w:numFmt w:val="bullet"/>
      <w:lvlText w:val=""/>
      <w:lvlJc w:val="left"/>
      <w:pPr>
        <w:ind w:left="5040" w:hanging="360"/>
      </w:pPr>
      <w:rPr>
        <w:rFonts w:ascii="Symbol" w:hAnsi="Symbol" w:hint="default"/>
      </w:rPr>
    </w:lvl>
    <w:lvl w:ilvl="7" w:tplc="DCA68CC4">
      <w:start w:val="1"/>
      <w:numFmt w:val="bullet"/>
      <w:lvlText w:val="o"/>
      <w:lvlJc w:val="left"/>
      <w:pPr>
        <w:ind w:left="5760" w:hanging="360"/>
      </w:pPr>
      <w:rPr>
        <w:rFonts w:ascii="Courier New" w:hAnsi="Courier New" w:hint="default"/>
      </w:rPr>
    </w:lvl>
    <w:lvl w:ilvl="8" w:tplc="DC3EF90A">
      <w:start w:val="1"/>
      <w:numFmt w:val="bullet"/>
      <w:lvlText w:val=""/>
      <w:lvlJc w:val="left"/>
      <w:pPr>
        <w:ind w:left="6480" w:hanging="360"/>
      </w:pPr>
      <w:rPr>
        <w:rFonts w:ascii="Wingdings" w:hAnsi="Wingdings" w:hint="default"/>
      </w:rPr>
    </w:lvl>
  </w:abstractNum>
  <w:abstractNum w:abstractNumId="9" w15:restartNumberingAfterBreak="0">
    <w:nsid w:val="1BD27292"/>
    <w:multiLevelType w:val="hybridMultilevel"/>
    <w:tmpl w:val="37E81F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6554E0"/>
    <w:multiLevelType w:val="multilevel"/>
    <w:tmpl w:val="A44ED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A171B6"/>
    <w:multiLevelType w:val="multilevel"/>
    <w:tmpl w:val="3842B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541464"/>
    <w:multiLevelType w:val="hybridMultilevel"/>
    <w:tmpl w:val="E6EA5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2BC8533D"/>
    <w:multiLevelType w:val="multilevel"/>
    <w:tmpl w:val="2EA4C7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336D21"/>
    <w:multiLevelType w:val="multilevel"/>
    <w:tmpl w:val="D2581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CD5168"/>
    <w:multiLevelType w:val="multilevel"/>
    <w:tmpl w:val="A1001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136C68"/>
    <w:multiLevelType w:val="multilevel"/>
    <w:tmpl w:val="5BF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27"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6F76EB"/>
    <w:multiLevelType w:val="multilevel"/>
    <w:tmpl w:val="AD0E7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9FB337"/>
    <w:multiLevelType w:val="hybridMultilevel"/>
    <w:tmpl w:val="19EA7658"/>
    <w:lvl w:ilvl="0" w:tplc="8578F5B6">
      <w:start w:val="1"/>
      <w:numFmt w:val="bullet"/>
      <w:lvlText w:val=""/>
      <w:lvlJc w:val="left"/>
      <w:pPr>
        <w:ind w:left="720" w:hanging="360"/>
      </w:pPr>
      <w:rPr>
        <w:rFonts w:ascii="Symbol" w:hAnsi="Symbol" w:hint="default"/>
      </w:rPr>
    </w:lvl>
    <w:lvl w:ilvl="1" w:tplc="F77873B0">
      <w:start w:val="1"/>
      <w:numFmt w:val="bullet"/>
      <w:lvlText w:val="o"/>
      <w:lvlJc w:val="left"/>
      <w:pPr>
        <w:ind w:left="1440" w:hanging="360"/>
      </w:pPr>
      <w:rPr>
        <w:rFonts w:ascii="Courier New" w:hAnsi="Courier New" w:hint="default"/>
      </w:rPr>
    </w:lvl>
    <w:lvl w:ilvl="2" w:tplc="9C7A8778">
      <w:start w:val="1"/>
      <w:numFmt w:val="bullet"/>
      <w:lvlText w:val=""/>
      <w:lvlJc w:val="left"/>
      <w:pPr>
        <w:ind w:left="2160" w:hanging="360"/>
      </w:pPr>
      <w:rPr>
        <w:rFonts w:ascii="Wingdings" w:hAnsi="Wingdings" w:hint="default"/>
      </w:rPr>
    </w:lvl>
    <w:lvl w:ilvl="3" w:tplc="AAFC1412">
      <w:start w:val="1"/>
      <w:numFmt w:val="bullet"/>
      <w:lvlText w:val=""/>
      <w:lvlJc w:val="left"/>
      <w:pPr>
        <w:ind w:left="2880" w:hanging="360"/>
      </w:pPr>
      <w:rPr>
        <w:rFonts w:ascii="Symbol" w:hAnsi="Symbol" w:hint="default"/>
      </w:rPr>
    </w:lvl>
    <w:lvl w:ilvl="4" w:tplc="52D429E8">
      <w:start w:val="1"/>
      <w:numFmt w:val="bullet"/>
      <w:lvlText w:val="o"/>
      <w:lvlJc w:val="left"/>
      <w:pPr>
        <w:ind w:left="3600" w:hanging="360"/>
      </w:pPr>
      <w:rPr>
        <w:rFonts w:ascii="Courier New" w:hAnsi="Courier New" w:hint="default"/>
      </w:rPr>
    </w:lvl>
    <w:lvl w:ilvl="5" w:tplc="ED381BDA">
      <w:start w:val="1"/>
      <w:numFmt w:val="bullet"/>
      <w:lvlText w:val=""/>
      <w:lvlJc w:val="left"/>
      <w:pPr>
        <w:ind w:left="4320" w:hanging="360"/>
      </w:pPr>
      <w:rPr>
        <w:rFonts w:ascii="Wingdings" w:hAnsi="Wingdings" w:hint="default"/>
      </w:rPr>
    </w:lvl>
    <w:lvl w:ilvl="6" w:tplc="EBDCD5A2">
      <w:start w:val="1"/>
      <w:numFmt w:val="bullet"/>
      <w:lvlText w:val=""/>
      <w:lvlJc w:val="left"/>
      <w:pPr>
        <w:ind w:left="5040" w:hanging="360"/>
      </w:pPr>
      <w:rPr>
        <w:rFonts w:ascii="Symbol" w:hAnsi="Symbol" w:hint="default"/>
      </w:rPr>
    </w:lvl>
    <w:lvl w:ilvl="7" w:tplc="29FC3526">
      <w:start w:val="1"/>
      <w:numFmt w:val="bullet"/>
      <w:lvlText w:val="o"/>
      <w:lvlJc w:val="left"/>
      <w:pPr>
        <w:ind w:left="5760" w:hanging="360"/>
      </w:pPr>
      <w:rPr>
        <w:rFonts w:ascii="Courier New" w:hAnsi="Courier New" w:hint="default"/>
      </w:rPr>
    </w:lvl>
    <w:lvl w:ilvl="8" w:tplc="64CEB91E">
      <w:start w:val="1"/>
      <w:numFmt w:val="bullet"/>
      <w:lvlText w:val=""/>
      <w:lvlJc w:val="left"/>
      <w:pPr>
        <w:ind w:left="6480" w:hanging="360"/>
      </w:pPr>
      <w:rPr>
        <w:rFonts w:ascii="Wingdings" w:hAnsi="Wingdings" w:hint="default"/>
      </w:rPr>
    </w:lvl>
  </w:abstractNum>
  <w:abstractNum w:abstractNumId="38"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39" w15:restartNumberingAfterBreak="0">
    <w:nsid w:val="6731107E"/>
    <w:multiLevelType w:val="multilevel"/>
    <w:tmpl w:val="E5A0D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FD25F9"/>
    <w:multiLevelType w:val="multilevel"/>
    <w:tmpl w:val="EBC6A1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B752C13"/>
    <w:multiLevelType w:val="multilevel"/>
    <w:tmpl w:val="13F87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1E18A4"/>
    <w:multiLevelType w:val="hybridMultilevel"/>
    <w:tmpl w:val="06681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413A09"/>
    <w:multiLevelType w:val="multilevel"/>
    <w:tmpl w:val="3A901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7B9361C"/>
    <w:multiLevelType w:val="hybridMultilevel"/>
    <w:tmpl w:val="333A8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0822138">
    <w:abstractNumId w:val="11"/>
  </w:num>
  <w:num w:numId="2" w16cid:durableId="161434421">
    <w:abstractNumId w:val="55"/>
  </w:num>
  <w:num w:numId="3" w16cid:durableId="1207523247">
    <w:abstractNumId w:val="10"/>
  </w:num>
  <w:num w:numId="4" w16cid:durableId="789477728">
    <w:abstractNumId w:val="21"/>
  </w:num>
  <w:num w:numId="5" w16cid:durableId="1439716184">
    <w:abstractNumId w:val="56"/>
  </w:num>
  <w:num w:numId="6" w16cid:durableId="1300766329">
    <w:abstractNumId w:val="25"/>
  </w:num>
  <w:num w:numId="7" w16cid:durableId="926112568">
    <w:abstractNumId w:val="1"/>
  </w:num>
  <w:num w:numId="8" w16cid:durableId="925654044">
    <w:abstractNumId w:val="48"/>
  </w:num>
  <w:num w:numId="9" w16cid:durableId="660962275">
    <w:abstractNumId w:val="3"/>
  </w:num>
  <w:num w:numId="10" w16cid:durableId="821697402">
    <w:abstractNumId w:val="26"/>
  </w:num>
  <w:num w:numId="11" w16cid:durableId="264652967">
    <w:abstractNumId w:val="13"/>
  </w:num>
  <w:num w:numId="12" w16cid:durableId="1640649437">
    <w:abstractNumId w:val="47"/>
  </w:num>
  <w:num w:numId="13" w16cid:durableId="1308588184">
    <w:abstractNumId w:val="45"/>
  </w:num>
  <w:num w:numId="14" w16cid:durableId="1640919933">
    <w:abstractNumId w:val="2"/>
  </w:num>
  <w:num w:numId="15" w16cid:durableId="1873683327">
    <w:abstractNumId w:val="53"/>
  </w:num>
  <w:num w:numId="16" w16cid:durableId="1128401359">
    <w:abstractNumId w:val="7"/>
  </w:num>
  <w:num w:numId="17" w16cid:durableId="1664971033">
    <w:abstractNumId w:val="34"/>
  </w:num>
  <w:num w:numId="18" w16cid:durableId="1819956202">
    <w:abstractNumId w:val="50"/>
  </w:num>
  <w:num w:numId="19" w16cid:durableId="1906210873">
    <w:abstractNumId w:val="41"/>
  </w:num>
  <w:num w:numId="20" w16cid:durableId="1949464414">
    <w:abstractNumId w:val="36"/>
  </w:num>
  <w:num w:numId="21" w16cid:durableId="1195269346">
    <w:abstractNumId w:val="35"/>
  </w:num>
  <w:num w:numId="22" w16cid:durableId="1784109296">
    <w:abstractNumId w:val="30"/>
  </w:num>
  <w:num w:numId="23" w16cid:durableId="556017852">
    <w:abstractNumId w:val="28"/>
  </w:num>
  <w:num w:numId="24" w16cid:durableId="416444482">
    <w:abstractNumId w:val="31"/>
  </w:num>
  <w:num w:numId="25" w16cid:durableId="1733961568">
    <w:abstractNumId w:val="46"/>
  </w:num>
  <w:num w:numId="26" w16cid:durableId="948395443">
    <w:abstractNumId w:val="14"/>
  </w:num>
  <w:num w:numId="27" w16cid:durableId="410784626">
    <w:abstractNumId w:val="22"/>
  </w:num>
  <w:num w:numId="28" w16cid:durableId="263342047">
    <w:abstractNumId w:val="51"/>
  </w:num>
  <w:num w:numId="29" w16cid:durableId="692923542">
    <w:abstractNumId w:val="29"/>
  </w:num>
  <w:num w:numId="30" w16cid:durableId="1368066881">
    <w:abstractNumId w:val="54"/>
  </w:num>
  <w:num w:numId="31" w16cid:durableId="1075474180">
    <w:abstractNumId w:val="32"/>
  </w:num>
  <w:num w:numId="32" w16cid:durableId="1509982090">
    <w:abstractNumId w:val="15"/>
  </w:num>
  <w:num w:numId="33" w16cid:durableId="2008751850">
    <w:abstractNumId w:val="49"/>
  </w:num>
  <w:num w:numId="34" w16cid:durableId="1197281596">
    <w:abstractNumId w:val="27"/>
  </w:num>
  <w:num w:numId="35" w16cid:durableId="506096805">
    <w:abstractNumId w:val="23"/>
  </w:num>
  <w:num w:numId="36" w16cid:durableId="1170750209">
    <w:abstractNumId w:val="38"/>
  </w:num>
  <w:num w:numId="37" w16cid:durableId="313611697">
    <w:abstractNumId w:val="8"/>
  </w:num>
  <w:num w:numId="38" w16cid:durableId="56126405">
    <w:abstractNumId w:val="37"/>
  </w:num>
  <w:num w:numId="39" w16cid:durableId="1933969029">
    <w:abstractNumId w:val="42"/>
  </w:num>
  <w:num w:numId="40" w16cid:durableId="1626505030">
    <w:abstractNumId w:val="43"/>
  </w:num>
  <w:num w:numId="41" w16cid:durableId="1007751562">
    <w:abstractNumId w:val="16"/>
  </w:num>
  <w:num w:numId="42" w16cid:durableId="1030573140">
    <w:abstractNumId w:val="20"/>
  </w:num>
  <w:num w:numId="43" w16cid:durableId="732582647">
    <w:abstractNumId w:val="24"/>
  </w:num>
  <w:num w:numId="44" w16cid:durableId="1695228288">
    <w:abstractNumId w:val="40"/>
  </w:num>
  <w:num w:numId="45" w16cid:durableId="398213368">
    <w:abstractNumId w:val="12"/>
  </w:num>
  <w:num w:numId="46" w16cid:durableId="2033145016">
    <w:abstractNumId w:val="39"/>
  </w:num>
  <w:num w:numId="47" w16cid:durableId="1755082248">
    <w:abstractNumId w:val="5"/>
  </w:num>
  <w:num w:numId="48" w16cid:durableId="229076658">
    <w:abstractNumId w:val="52"/>
  </w:num>
  <w:num w:numId="49" w16cid:durableId="1990865937">
    <w:abstractNumId w:val="44"/>
  </w:num>
  <w:num w:numId="50" w16cid:durableId="1393385331">
    <w:abstractNumId w:val="6"/>
  </w:num>
  <w:num w:numId="51" w16cid:durableId="431362257">
    <w:abstractNumId w:val="0"/>
  </w:num>
  <w:num w:numId="52" w16cid:durableId="738018980">
    <w:abstractNumId w:val="17"/>
  </w:num>
  <w:num w:numId="53" w16cid:durableId="605161562">
    <w:abstractNumId w:val="9"/>
  </w:num>
  <w:num w:numId="54" w16cid:durableId="1654259824">
    <w:abstractNumId w:val="19"/>
  </w:num>
  <w:num w:numId="55" w16cid:durableId="619187559">
    <w:abstractNumId w:val="18"/>
    <w:lvlOverride w:ilvl="0"/>
    <w:lvlOverride w:ilvl="1"/>
    <w:lvlOverride w:ilvl="2"/>
    <w:lvlOverride w:ilvl="3"/>
    <w:lvlOverride w:ilvl="4"/>
    <w:lvlOverride w:ilvl="5"/>
    <w:lvlOverride w:ilvl="6"/>
    <w:lvlOverride w:ilvl="7"/>
    <w:lvlOverride w:ilvl="8"/>
  </w:num>
  <w:num w:numId="56" w16cid:durableId="1078476111">
    <w:abstractNumId w:val="33"/>
    <w:lvlOverride w:ilvl="0"/>
    <w:lvlOverride w:ilvl="1"/>
    <w:lvlOverride w:ilvl="2"/>
    <w:lvlOverride w:ilvl="3"/>
    <w:lvlOverride w:ilvl="4"/>
    <w:lvlOverride w:ilvl="5"/>
    <w:lvlOverride w:ilvl="6"/>
    <w:lvlOverride w:ilvl="7"/>
    <w:lvlOverride w:ilvl="8"/>
  </w:num>
  <w:num w:numId="57" w16cid:durableId="85703844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6961"/>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1B11"/>
    <w:rsid w:val="007325B3"/>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2ED2"/>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4F43"/>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E0C97"/>
    <w:rsid w:val="00CE0F96"/>
    <w:rsid w:val="00CE19C6"/>
    <w:rsid w:val="00CE2FAA"/>
    <w:rsid w:val="00CE3397"/>
    <w:rsid w:val="00CE3D09"/>
    <w:rsid w:val="00CE3F1B"/>
    <w:rsid w:val="00CE4530"/>
    <w:rsid w:val="00CE4B47"/>
    <w:rsid w:val="00CE53F8"/>
    <w:rsid w:val="00CE5710"/>
    <w:rsid w:val="00CE5DB2"/>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3BF2"/>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D98"/>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6088"/>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191"/>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67600408">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2388230">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4376093">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8853111">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7346756">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285085">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2142432">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7623582">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5298261">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3764725">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5045845">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4644197">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0670615">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50681">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7292548">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2873376">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2276159">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0519585">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marycarebulletin.cmail19.com/t/d-l-sukhin-tluhhdhyld-i/" TargetMode="External"/><Relationship Id="rId18" Type="http://schemas.openxmlformats.org/officeDocument/2006/relationships/hyperlink" Target="https://primarycarebulletin.cmail19.com/t/d-l-sukhin-tluhhdhyld-c/"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bma.org.uk/advice-and-support/gp-practices" TargetMode="External"/><Relationship Id="rId7" Type="http://schemas.openxmlformats.org/officeDocument/2006/relationships/settings" Target="settings.xml"/><Relationship Id="rId12" Type="http://schemas.openxmlformats.org/officeDocument/2006/relationships/hyperlink" Target="https://primarycarebulletin.cmail19.com/t/d-l-sukhin-tluhhdhyld-t/" TargetMode="External"/><Relationship Id="rId17" Type="http://schemas.openxmlformats.org/officeDocument/2006/relationships/hyperlink" Target="https://primarycarebulletin.cmail19.com/t/d-l-sukhin-tluhhdhyld-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rimarycarebulletin.cmail19.com/t/d-l-sukhin-tluhhdhyld-k/" TargetMode="External"/><Relationship Id="rId20" Type="http://schemas.openxmlformats.org/officeDocument/2006/relationships/hyperlink" Target="mailto:birmingham.lmc@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sukhin-tluhhdhyld-j/"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rimarycarebulletin.cmail19.com/t/d-l-sukhin-tluhhdhyld-h/" TargetMode="External"/><Relationship Id="rId23" Type="http://schemas.openxmlformats.org/officeDocument/2006/relationships/hyperlink" Target="https://www.england.nhs.uk/" TargetMode="External"/><Relationship Id="rId10" Type="http://schemas.openxmlformats.org/officeDocument/2006/relationships/endnotes" Target="endnotes.xml"/><Relationship Id="rId19" Type="http://schemas.openxmlformats.org/officeDocument/2006/relationships/hyperlink" Target="https://primarycarebulletin.cmail19.com/t/d-l-sukhin-tluhhdhyld-q/"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sukhin-tluhhdhyld-d/" TargetMode="External"/><Relationship Id="rId22" Type="http://schemas.openxmlformats.org/officeDocument/2006/relationships/hyperlink" Target="https://www.gov.uk/coronaviru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2.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2025-07-29T19:30:00Z</dcterms:created>
  <dcterms:modified xsi:type="dcterms:W3CDTF">2025-07-29T19:30:00Z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