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54347A03"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CB45F7">
                              <w:rPr>
                                <w:b/>
                                <w:bCs/>
                                <w:i/>
                                <w:iCs/>
                                <w:color w:val="4472C4" w:themeColor="accent1"/>
                                <w:sz w:val="44"/>
                                <w:szCs w:val="44"/>
                              </w:rPr>
                              <w:t>2</w:t>
                            </w:r>
                            <w:r w:rsidR="00CB45F7" w:rsidRPr="00CB45F7">
                              <w:rPr>
                                <w:b/>
                                <w:bCs/>
                                <w:i/>
                                <w:iCs/>
                                <w:color w:val="4472C4" w:themeColor="accent1"/>
                                <w:sz w:val="44"/>
                                <w:szCs w:val="44"/>
                                <w:vertAlign w:val="superscript"/>
                              </w:rPr>
                              <w:t>nd</w:t>
                            </w:r>
                            <w:r w:rsidR="00CB45F7">
                              <w:rPr>
                                <w:b/>
                                <w:bCs/>
                                <w:i/>
                                <w:iCs/>
                                <w:color w:val="4472C4" w:themeColor="accent1"/>
                                <w:sz w:val="44"/>
                                <w:szCs w:val="44"/>
                              </w:rPr>
                              <w:t xml:space="preserve"> of June</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54347A03"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CB45F7">
                        <w:rPr>
                          <w:b/>
                          <w:bCs/>
                          <w:i/>
                          <w:iCs/>
                          <w:color w:val="4472C4" w:themeColor="accent1"/>
                          <w:sz w:val="44"/>
                          <w:szCs w:val="44"/>
                        </w:rPr>
                        <w:t>2</w:t>
                      </w:r>
                      <w:r w:rsidR="00CB45F7" w:rsidRPr="00CB45F7">
                        <w:rPr>
                          <w:b/>
                          <w:bCs/>
                          <w:i/>
                          <w:iCs/>
                          <w:color w:val="4472C4" w:themeColor="accent1"/>
                          <w:sz w:val="44"/>
                          <w:szCs w:val="44"/>
                          <w:vertAlign w:val="superscript"/>
                        </w:rPr>
                        <w:t>nd</w:t>
                      </w:r>
                      <w:r w:rsidR="00CB45F7">
                        <w:rPr>
                          <w:b/>
                          <w:bCs/>
                          <w:i/>
                          <w:iCs/>
                          <w:color w:val="4472C4" w:themeColor="accent1"/>
                          <w:sz w:val="44"/>
                          <w:szCs w:val="44"/>
                        </w:rPr>
                        <w:t xml:space="preserve"> of June</w:t>
                      </w:r>
                      <w:r w:rsidR="00101CD6">
                        <w:rPr>
                          <w:b/>
                          <w:bCs/>
                          <w:i/>
                          <w:iCs/>
                          <w:color w:val="4472C4" w:themeColor="accent1"/>
                          <w:sz w:val="44"/>
                          <w:szCs w:val="44"/>
                        </w:rPr>
                        <w:t xml:space="preserve"> 2025</w:t>
                      </w:r>
                    </w:p>
                  </w:txbxContent>
                </v:textbox>
                <w10:wrap type="topAndBottom" anchorx="margin"/>
              </v:shape>
            </w:pict>
          </mc:Fallback>
        </mc:AlternateContent>
      </w:r>
    </w:p>
    <w:p w14:paraId="1CB0631F" w14:textId="77777777" w:rsidR="009C659A" w:rsidRDefault="009C659A" w:rsidP="00315167">
      <w:pPr>
        <w:spacing w:after="0"/>
        <w:textAlignment w:val="baseline"/>
        <w:rPr>
          <w:rFonts w:ascii="Calibri" w:hAnsi="Calibri" w:cs="Calibri"/>
          <w:b/>
          <w:bCs/>
          <w:color w:val="2F5496" w:themeColor="accent1" w:themeShade="BF"/>
        </w:rPr>
      </w:pPr>
    </w:p>
    <w:p w14:paraId="15A3C352" w14:textId="77777777" w:rsidR="00752146" w:rsidRDefault="00752146" w:rsidP="00315167">
      <w:pPr>
        <w:spacing w:after="0"/>
        <w:textAlignment w:val="baseline"/>
        <w:rPr>
          <w:rFonts w:ascii="Calibri" w:hAnsi="Calibri" w:cs="Calibri"/>
          <w:b/>
          <w:bCs/>
          <w:color w:val="2F5496" w:themeColor="accent1" w:themeShade="BF"/>
        </w:rPr>
      </w:pPr>
    </w:p>
    <w:p w14:paraId="0C327022" w14:textId="6C35B463" w:rsidR="00752146" w:rsidRPr="00B37855" w:rsidRDefault="00B37855" w:rsidP="00315167">
      <w:pPr>
        <w:spacing w:after="0"/>
        <w:textAlignment w:val="baseline"/>
        <w:rPr>
          <w:rStyle w:val="Hyperlink"/>
          <w:rFonts w:ascii="Calibri" w:hAnsi="Calibri" w:cs="Calibri"/>
          <w:b/>
          <w:bCs/>
          <w:color w:val="2F5496" w:themeColor="accent1" w:themeShade="BF"/>
        </w:rPr>
      </w:pPr>
      <w:r w:rsidRPr="00B37855">
        <w:rPr>
          <w:rFonts w:ascii="Calibri" w:hAnsi="Calibri" w:cs="Calibri"/>
          <w:b/>
          <w:bCs/>
          <w:color w:val="2F5496" w:themeColor="accent1" w:themeShade="BF"/>
        </w:rPr>
        <w:fldChar w:fldCharType="begin"/>
      </w:r>
      <w:r w:rsidRPr="00B37855">
        <w:rPr>
          <w:rFonts w:ascii="Calibri" w:hAnsi="Calibri" w:cs="Calibri"/>
          <w:b/>
          <w:bCs/>
          <w:color w:val="2F5496" w:themeColor="accent1" w:themeShade="BF"/>
        </w:rPr>
        <w:instrText>HYPERLINK  \l "NO1"</w:instrText>
      </w:r>
      <w:r w:rsidRPr="00B37855">
        <w:rPr>
          <w:rFonts w:ascii="Calibri" w:hAnsi="Calibri" w:cs="Calibri"/>
          <w:b/>
          <w:bCs/>
          <w:color w:val="2F5496" w:themeColor="accent1" w:themeShade="BF"/>
        </w:rPr>
      </w:r>
      <w:r w:rsidRPr="00B37855">
        <w:rPr>
          <w:rFonts w:ascii="Calibri" w:hAnsi="Calibri" w:cs="Calibri"/>
          <w:b/>
          <w:bCs/>
          <w:color w:val="2F5496" w:themeColor="accent1" w:themeShade="BF"/>
        </w:rPr>
        <w:fldChar w:fldCharType="separate"/>
      </w:r>
    </w:p>
    <w:p w14:paraId="780063CD" w14:textId="29F0E82F" w:rsidR="00752146" w:rsidRPr="00B37855" w:rsidRDefault="002D4831" w:rsidP="002D4831">
      <w:pPr>
        <w:pStyle w:val="ListParagraph"/>
        <w:numPr>
          <w:ilvl w:val="0"/>
          <w:numId w:val="56"/>
        </w:numPr>
        <w:spacing w:after="0"/>
        <w:textAlignment w:val="baseline"/>
        <w:rPr>
          <w:rFonts w:ascii="Calibri" w:hAnsi="Calibri" w:cs="Calibri"/>
          <w:b/>
          <w:bCs/>
          <w:color w:val="2F5496" w:themeColor="accent1" w:themeShade="BF"/>
        </w:rPr>
      </w:pPr>
      <w:r w:rsidRPr="00B37855">
        <w:rPr>
          <w:rStyle w:val="Hyperlink"/>
          <w:rFonts w:ascii="Calibri" w:hAnsi="Calibri" w:cs="Calibri"/>
          <w:b/>
          <w:bCs/>
          <w:color w:val="2F5496" w:themeColor="accent1" w:themeShade="BF"/>
        </w:rPr>
        <w:t>Primary care services development and general practice IT funding guidance</w:t>
      </w:r>
      <w:r w:rsidR="00B37855" w:rsidRPr="00B37855">
        <w:rPr>
          <w:rFonts w:ascii="Calibri" w:hAnsi="Calibri" w:cs="Calibri"/>
          <w:b/>
          <w:bCs/>
          <w:color w:val="2F5496" w:themeColor="accent1" w:themeShade="BF"/>
        </w:rPr>
        <w:fldChar w:fldCharType="end"/>
      </w:r>
    </w:p>
    <w:p w14:paraId="67752ED8" w14:textId="0518838F" w:rsidR="002D4831"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2" w:history="1">
        <w:r w:rsidR="002D4831" w:rsidRPr="00B37855">
          <w:rPr>
            <w:rStyle w:val="Hyperlink"/>
            <w:rFonts w:ascii="Calibri" w:hAnsi="Calibri" w:cs="Calibri"/>
            <w:b/>
            <w:bCs/>
            <w:color w:val="2F5496" w:themeColor="accent1" w:themeShade="BF"/>
          </w:rPr>
          <w:t>Changes to the online GP registration service in response to the Infected Blood Inquiry</w:t>
        </w:r>
      </w:hyperlink>
    </w:p>
    <w:p w14:paraId="138C4740" w14:textId="6CA62166" w:rsidR="002D4831"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3" w:history="1">
        <w:r w:rsidR="002D4831" w:rsidRPr="00B37855">
          <w:rPr>
            <w:rStyle w:val="Hyperlink"/>
            <w:rFonts w:ascii="Calibri" w:hAnsi="Calibri" w:cs="Calibri"/>
            <w:b/>
            <w:bCs/>
            <w:color w:val="2F5496" w:themeColor="accent1" w:themeShade="BF"/>
          </w:rPr>
          <w:t>Advice and Guidance Enhanced Service – confirm participation</w:t>
        </w:r>
      </w:hyperlink>
      <w:r w:rsidR="002D4831" w:rsidRPr="00B37855">
        <w:rPr>
          <w:rFonts w:ascii="Calibri" w:hAnsi="Calibri" w:cs="Calibri"/>
          <w:b/>
          <w:bCs/>
          <w:color w:val="2F5496" w:themeColor="accent1" w:themeShade="BF"/>
        </w:rPr>
        <w:t xml:space="preserve"> </w:t>
      </w:r>
    </w:p>
    <w:p w14:paraId="5B66BDC1" w14:textId="2AAD129A" w:rsidR="002D4831"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4" w:history="1">
        <w:r w:rsidR="002D4831" w:rsidRPr="00B37855">
          <w:rPr>
            <w:rStyle w:val="Hyperlink"/>
            <w:rFonts w:ascii="Calibri" w:hAnsi="Calibri" w:cs="Calibri"/>
            <w:b/>
            <w:bCs/>
            <w:color w:val="2F5496" w:themeColor="accent1" w:themeShade="BF"/>
          </w:rPr>
          <w:t>Sickle Cell Awareness Event Thursday 19</w:t>
        </w:r>
        <w:r w:rsidR="002D4831" w:rsidRPr="00B37855">
          <w:rPr>
            <w:rStyle w:val="Hyperlink"/>
            <w:rFonts w:ascii="Calibri" w:hAnsi="Calibri" w:cs="Calibri"/>
            <w:b/>
            <w:bCs/>
            <w:color w:val="2F5496" w:themeColor="accent1" w:themeShade="BF"/>
            <w:vertAlign w:val="superscript"/>
          </w:rPr>
          <w:t>th</w:t>
        </w:r>
        <w:r w:rsidR="002D4831" w:rsidRPr="00B37855">
          <w:rPr>
            <w:rStyle w:val="Hyperlink"/>
            <w:rFonts w:ascii="Calibri" w:hAnsi="Calibri" w:cs="Calibri"/>
            <w:b/>
            <w:bCs/>
            <w:color w:val="2F5496" w:themeColor="accent1" w:themeShade="BF"/>
          </w:rPr>
          <w:t xml:space="preserve"> June 2025 11am</w:t>
        </w:r>
      </w:hyperlink>
    </w:p>
    <w:p w14:paraId="11599996" w14:textId="54F3C3B6" w:rsidR="002D4831"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5" w:history="1">
        <w:r w:rsidR="002D4831" w:rsidRPr="00B37855">
          <w:rPr>
            <w:rStyle w:val="Hyperlink"/>
            <w:rFonts w:ascii="Calibri" w:hAnsi="Calibri" w:cs="Calibri"/>
            <w:b/>
            <w:bCs/>
            <w:color w:val="2F5496" w:themeColor="accent1" w:themeShade="BF"/>
          </w:rPr>
          <w:t>Sign-up process launched for autumn/winter 2025/26 COVID-19 and flu vaccination services</w:t>
        </w:r>
      </w:hyperlink>
    </w:p>
    <w:p w14:paraId="0356D0D8" w14:textId="4369BEAC" w:rsidR="002D4831"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6" w:history="1">
        <w:r w:rsidRPr="00B37855">
          <w:rPr>
            <w:rStyle w:val="Hyperlink"/>
            <w:rFonts w:ascii="Calibri" w:hAnsi="Calibri" w:cs="Calibri"/>
            <w:b/>
            <w:bCs/>
            <w:color w:val="2F5496" w:themeColor="accent1" w:themeShade="BF"/>
          </w:rPr>
          <w:t>Legacy Smartcard deprecation</w:t>
        </w:r>
      </w:hyperlink>
    </w:p>
    <w:p w14:paraId="172A7E45" w14:textId="64A45284" w:rsidR="00B37855"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7" w:history="1">
        <w:r w:rsidRPr="00B37855">
          <w:rPr>
            <w:rStyle w:val="Hyperlink"/>
            <w:rFonts w:ascii="Calibri" w:hAnsi="Calibri" w:cs="Calibri"/>
            <w:b/>
            <w:bCs/>
            <w:color w:val="2F5496" w:themeColor="accent1" w:themeShade="BF"/>
          </w:rPr>
          <w:t>Important Update: End of Contract with Quilt with Bella App</w:t>
        </w:r>
      </w:hyperlink>
    </w:p>
    <w:p w14:paraId="3E155D42" w14:textId="5DF34D7B" w:rsidR="00B37855" w:rsidRPr="00B37855" w:rsidRDefault="00B37855" w:rsidP="002D4831">
      <w:pPr>
        <w:pStyle w:val="ListParagraph"/>
        <w:numPr>
          <w:ilvl w:val="0"/>
          <w:numId w:val="56"/>
        </w:numPr>
        <w:spacing w:after="0"/>
        <w:textAlignment w:val="baseline"/>
        <w:rPr>
          <w:rFonts w:ascii="Calibri" w:hAnsi="Calibri" w:cs="Calibri"/>
          <w:b/>
          <w:bCs/>
          <w:color w:val="2F5496" w:themeColor="accent1" w:themeShade="BF"/>
        </w:rPr>
      </w:pPr>
      <w:hyperlink w:anchor="NO8" w:history="1">
        <w:r w:rsidRPr="00B37855">
          <w:rPr>
            <w:rStyle w:val="Hyperlink"/>
            <w:rFonts w:ascii="Calibri" w:hAnsi="Calibri" w:cs="Calibri"/>
            <w:b/>
            <w:bCs/>
            <w:color w:val="2F5496" w:themeColor="accent1" w:themeShade="BF"/>
          </w:rPr>
          <w:t>GPC England update</w:t>
        </w:r>
      </w:hyperlink>
    </w:p>
    <w:p w14:paraId="0B076C1E" w14:textId="77777777" w:rsidR="00B37855" w:rsidRPr="00B37855" w:rsidRDefault="00B37855" w:rsidP="00B37855">
      <w:pPr>
        <w:spacing w:after="0"/>
        <w:textAlignment w:val="baseline"/>
        <w:rPr>
          <w:rFonts w:ascii="Calibri" w:hAnsi="Calibri" w:cs="Calibri"/>
          <w:b/>
          <w:bCs/>
          <w:color w:val="2F5496" w:themeColor="accent1" w:themeShade="BF"/>
        </w:rPr>
      </w:pPr>
    </w:p>
    <w:p w14:paraId="54D75BF1" w14:textId="77777777" w:rsidR="00752146" w:rsidRDefault="00752146" w:rsidP="00315167">
      <w:pPr>
        <w:spacing w:after="0"/>
        <w:textAlignment w:val="baseline"/>
        <w:rPr>
          <w:rFonts w:ascii="Calibri" w:hAnsi="Calibri" w:cs="Calibri"/>
          <w:b/>
          <w:bCs/>
          <w:color w:val="2F5496" w:themeColor="accent1" w:themeShade="BF"/>
        </w:rPr>
      </w:pPr>
    </w:p>
    <w:p w14:paraId="3F792BA6" w14:textId="77777777" w:rsidR="00752146" w:rsidRDefault="00752146" w:rsidP="00315167">
      <w:pPr>
        <w:spacing w:after="0"/>
        <w:textAlignment w:val="baseline"/>
        <w:rPr>
          <w:rFonts w:ascii="Calibri" w:hAnsi="Calibri" w:cs="Calibri"/>
          <w:b/>
          <w:bCs/>
          <w:color w:val="2F5496" w:themeColor="accent1" w:themeShade="BF"/>
        </w:rPr>
      </w:pPr>
    </w:p>
    <w:p w14:paraId="71309304" w14:textId="77777777" w:rsidR="00752146" w:rsidRDefault="00752146" w:rsidP="00315167">
      <w:pPr>
        <w:spacing w:after="0"/>
        <w:textAlignment w:val="baseline"/>
        <w:rPr>
          <w:rFonts w:ascii="Calibri" w:hAnsi="Calibri" w:cs="Calibri"/>
          <w:b/>
          <w:bCs/>
          <w:color w:val="2F5496" w:themeColor="accent1" w:themeShade="BF"/>
        </w:rPr>
      </w:pPr>
    </w:p>
    <w:p w14:paraId="5AF8B00D" w14:textId="77777777" w:rsidR="00752146" w:rsidRDefault="00752146" w:rsidP="00315167">
      <w:pPr>
        <w:spacing w:after="0"/>
        <w:textAlignment w:val="baseline"/>
        <w:rPr>
          <w:rFonts w:ascii="Calibri" w:hAnsi="Calibri" w:cs="Calibri"/>
          <w:b/>
          <w:bCs/>
          <w:color w:val="2F5496" w:themeColor="accent1" w:themeShade="BF"/>
        </w:rPr>
      </w:pPr>
    </w:p>
    <w:p w14:paraId="7CAB8790" w14:textId="77777777" w:rsidR="00752146" w:rsidRDefault="00752146" w:rsidP="00315167">
      <w:pPr>
        <w:spacing w:after="0"/>
        <w:textAlignment w:val="baseline"/>
        <w:rPr>
          <w:rFonts w:ascii="Calibri" w:hAnsi="Calibri" w:cs="Calibri"/>
          <w:b/>
          <w:bCs/>
          <w:color w:val="2F5496" w:themeColor="accent1" w:themeShade="BF"/>
        </w:rPr>
      </w:pPr>
    </w:p>
    <w:p w14:paraId="55962CFE" w14:textId="77777777" w:rsidR="00752146" w:rsidRDefault="00752146" w:rsidP="00315167">
      <w:pPr>
        <w:spacing w:after="0"/>
        <w:textAlignment w:val="baseline"/>
        <w:rPr>
          <w:rFonts w:ascii="Calibri" w:hAnsi="Calibri" w:cs="Calibri"/>
          <w:b/>
          <w:bCs/>
          <w:color w:val="2F5496" w:themeColor="accent1" w:themeShade="BF"/>
        </w:rPr>
      </w:pPr>
    </w:p>
    <w:p w14:paraId="74BE6984" w14:textId="77777777" w:rsidR="00752146" w:rsidRDefault="00752146" w:rsidP="00315167">
      <w:pPr>
        <w:spacing w:after="0"/>
        <w:textAlignment w:val="baseline"/>
        <w:rPr>
          <w:rFonts w:ascii="Calibri" w:hAnsi="Calibri" w:cs="Calibri"/>
          <w:b/>
          <w:bCs/>
          <w:color w:val="2F5496" w:themeColor="accent1" w:themeShade="BF"/>
        </w:rPr>
      </w:pPr>
    </w:p>
    <w:p w14:paraId="68E75B4F" w14:textId="77777777" w:rsidR="00752146" w:rsidRDefault="00752146" w:rsidP="00315167">
      <w:pPr>
        <w:spacing w:after="0"/>
        <w:textAlignment w:val="baseline"/>
        <w:rPr>
          <w:rFonts w:ascii="Calibri" w:hAnsi="Calibri" w:cs="Calibri"/>
          <w:b/>
          <w:bCs/>
          <w:color w:val="2F5496" w:themeColor="accent1" w:themeShade="BF"/>
        </w:rPr>
      </w:pPr>
    </w:p>
    <w:p w14:paraId="31535D2C" w14:textId="77777777" w:rsidR="00752146" w:rsidRDefault="00752146" w:rsidP="00315167">
      <w:pPr>
        <w:spacing w:after="0"/>
        <w:textAlignment w:val="baseline"/>
        <w:rPr>
          <w:rFonts w:ascii="Calibri" w:hAnsi="Calibri" w:cs="Calibri"/>
          <w:b/>
          <w:bCs/>
          <w:color w:val="2F5496" w:themeColor="accent1" w:themeShade="BF"/>
        </w:rPr>
      </w:pPr>
    </w:p>
    <w:p w14:paraId="7B8FF44C" w14:textId="77777777" w:rsidR="00752146" w:rsidRDefault="00752146" w:rsidP="00315167">
      <w:pPr>
        <w:spacing w:after="0"/>
        <w:textAlignment w:val="baseline"/>
        <w:rPr>
          <w:rFonts w:ascii="Calibri" w:hAnsi="Calibri" w:cs="Calibri"/>
          <w:b/>
          <w:bCs/>
          <w:color w:val="2F5496" w:themeColor="accent1" w:themeShade="BF"/>
        </w:rPr>
      </w:pPr>
    </w:p>
    <w:p w14:paraId="686EADAF" w14:textId="77777777" w:rsidR="00752146" w:rsidRDefault="00752146" w:rsidP="00315167">
      <w:pPr>
        <w:spacing w:after="0"/>
        <w:textAlignment w:val="baseline"/>
        <w:rPr>
          <w:rFonts w:ascii="Calibri" w:hAnsi="Calibri" w:cs="Calibri"/>
          <w:b/>
          <w:bCs/>
          <w:color w:val="2F5496" w:themeColor="accent1" w:themeShade="BF"/>
        </w:rPr>
      </w:pPr>
    </w:p>
    <w:p w14:paraId="1117DE22" w14:textId="77777777" w:rsidR="00752146" w:rsidRDefault="00752146" w:rsidP="00315167">
      <w:pPr>
        <w:spacing w:after="0"/>
        <w:textAlignment w:val="baseline"/>
        <w:rPr>
          <w:rFonts w:ascii="Calibri" w:hAnsi="Calibri" w:cs="Calibri"/>
          <w:b/>
          <w:bCs/>
          <w:color w:val="2F5496" w:themeColor="accent1" w:themeShade="BF"/>
        </w:rPr>
      </w:pPr>
    </w:p>
    <w:p w14:paraId="43CFC803" w14:textId="77777777" w:rsidR="00752146" w:rsidRDefault="00752146" w:rsidP="00315167">
      <w:pPr>
        <w:spacing w:after="0"/>
        <w:textAlignment w:val="baseline"/>
        <w:rPr>
          <w:rFonts w:ascii="Calibri" w:hAnsi="Calibri" w:cs="Calibri"/>
          <w:b/>
          <w:bCs/>
          <w:color w:val="2F5496" w:themeColor="accent1" w:themeShade="BF"/>
        </w:rPr>
      </w:pPr>
    </w:p>
    <w:p w14:paraId="45192022" w14:textId="77777777" w:rsidR="00752146" w:rsidRDefault="00752146" w:rsidP="00315167">
      <w:pPr>
        <w:spacing w:after="0"/>
        <w:textAlignment w:val="baseline"/>
        <w:rPr>
          <w:rFonts w:ascii="Calibri" w:hAnsi="Calibri" w:cs="Calibri"/>
          <w:b/>
          <w:bCs/>
          <w:color w:val="2F5496" w:themeColor="accent1" w:themeShade="BF"/>
        </w:rPr>
      </w:pPr>
    </w:p>
    <w:p w14:paraId="47CDF440" w14:textId="77777777" w:rsidR="00752146" w:rsidRDefault="00752146" w:rsidP="00315167">
      <w:pPr>
        <w:spacing w:after="0"/>
        <w:textAlignment w:val="baseline"/>
        <w:rPr>
          <w:rFonts w:ascii="Calibri" w:hAnsi="Calibri" w:cs="Calibri"/>
          <w:b/>
          <w:bCs/>
          <w:color w:val="2F5496" w:themeColor="accent1" w:themeShade="BF"/>
        </w:rPr>
      </w:pPr>
    </w:p>
    <w:p w14:paraId="6EADDEB2" w14:textId="77777777" w:rsidR="00752146" w:rsidRDefault="00752146" w:rsidP="00315167">
      <w:pPr>
        <w:spacing w:after="0"/>
        <w:textAlignment w:val="baseline"/>
        <w:rPr>
          <w:rFonts w:ascii="Calibri" w:hAnsi="Calibri" w:cs="Calibri"/>
          <w:b/>
          <w:bCs/>
          <w:color w:val="2F5496" w:themeColor="accent1" w:themeShade="BF"/>
        </w:rPr>
      </w:pPr>
    </w:p>
    <w:p w14:paraId="3CB1F80F" w14:textId="77777777" w:rsidR="00752146" w:rsidRDefault="00752146" w:rsidP="00315167">
      <w:pPr>
        <w:spacing w:after="0"/>
        <w:textAlignment w:val="baseline"/>
        <w:rPr>
          <w:rFonts w:ascii="Calibri" w:hAnsi="Calibri" w:cs="Calibri"/>
          <w:b/>
          <w:bCs/>
          <w:color w:val="2F5496" w:themeColor="accent1" w:themeShade="BF"/>
        </w:rPr>
      </w:pPr>
      <w:bookmarkStart w:id="0" w:name="NO1"/>
    </w:p>
    <w:p w14:paraId="253250B5" w14:textId="340A066C" w:rsidR="00841B38" w:rsidRDefault="00841B38" w:rsidP="000A0D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841B38">
        <w:rPr>
          <w:rFonts w:ascii="Calibri" w:hAnsi="Calibri" w:cs="Calibri"/>
          <w:b/>
          <w:bCs/>
          <w:color w:val="000000" w:themeColor="text1"/>
        </w:rPr>
        <w:t>1.</w:t>
      </w:r>
      <w:r w:rsidRPr="00841B38">
        <w:rPr>
          <w:rFonts w:ascii="Calibri" w:hAnsi="Calibri" w:cs="Calibri"/>
          <w:b/>
          <w:bCs/>
          <w:color w:val="000000" w:themeColor="text1"/>
        </w:rPr>
        <w:t xml:space="preserve">Primary care service development and general practice IT funding guidance </w:t>
      </w:r>
    </w:p>
    <w:bookmarkEnd w:id="0"/>
    <w:p w14:paraId="7116023C" w14:textId="77777777" w:rsidR="000A0D86" w:rsidRPr="00841B38" w:rsidRDefault="000A0D86" w:rsidP="000A0D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164EED6C" w14:textId="77777777" w:rsidR="00841B38" w:rsidRPr="00841B38" w:rsidRDefault="00841B38" w:rsidP="000A0D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1B38">
        <w:rPr>
          <w:rFonts w:ascii="Calibri" w:hAnsi="Calibri" w:cs="Calibri"/>
          <w:color w:val="000000" w:themeColor="text1"/>
        </w:rPr>
        <w:t xml:space="preserve">NHS England has published the </w:t>
      </w:r>
      <w:hyperlink r:id="rId11" w:history="1">
        <w:r w:rsidRPr="00841B38">
          <w:rPr>
            <w:rStyle w:val="Hyperlink"/>
            <w:rFonts w:ascii="Calibri" w:hAnsi="Calibri" w:cs="Calibri"/>
            <w:color w:val="2F5496" w:themeColor="accent1" w:themeShade="BF"/>
          </w:rPr>
          <w:t xml:space="preserve">primary care service development funding (SDF) and general practice IT funding guidance 2025/26 </w:t>
        </w:r>
      </w:hyperlink>
      <w:r w:rsidRPr="00841B38">
        <w:rPr>
          <w:rFonts w:ascii="Calibri" w:hAnsi="Calibri" w:cs="Calibri"/>
          <w:color w:val="000000" w:themeColor="text1"/>
        </w:rPr>
        <w:t>describing how SDF and other funding relevant to primary care is flowing to systems in 2025/26. It is designed to help integrated care boards (ICBs) understand the changes for this year and support them in making informed decisions about how they will use the funding.</w:t>
      </w:r>
    </w:p>
    <w:p w14:paraId="42C4428B" w14:textId="77777777" w:rsidR="00752146" w:rsidRDefault="00752146" w:rsidP="00315167">
      <w:pPr>
        <w:spacing w:after="0"/>
        <w:textAlignment w:val="baseline"/>
        <w:rPr>
          <w:rFonts w:ascii="Calibri" w:hAnsi="Calibri" w:cs="Calibri"/>
          <w:b/>
          <w:bCs/>
          <w:color w:val="2F5496" w:themeColor="accent1" w:themeShade="BF"/>
        </w:rPr>
      </w:pPr>
    </w:p>
    <w:p w14:paraId="37F15FAD" w14:textId="5EB0C679" w:rsidR="00C657F2" w:rsidRDefault="00C657F2" w:rsidP="00C657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lastRenderedPageBreak/>
        <w:t>2.</w:t>
      </w:r>
      <w:r w:rsidRPr="00C657F2">
        <w:rPr>
          <w:rFonts w:ascii="Calibri" w:hAnsi="Calibri" w:cs="Calibri"/>
          <w:b/>
          <w:bCs/>
          <w:color w:val="000000" w:themeColor="text1"/>
        </w:rPr>
        <w:t>Changes to the online GP registration service in response to the Infected Blood Inquiry recommendations</w:t>
      </w:r>
    </w:p>
    <w:bookmarkEnd w:id="1"/>
    <w:p w14:paraId="261AAC97" w14:textId="77777777" w:rsidR="00C657F2" w:rsidRPr="00C657F2" w:rsidRDefault="00C657F2" w:rsidP="00C657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1F03036" w14:textId="77777777" w:rsidR="00C657F2" w:rsidRPr="00C657F2" w:rsidRDefault="00C657F2" w:rsidP="00C657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657F2">
        <w:rPr>
          <w:rFonts w:ascii="Calibri" w:hAnsi="Calibri" w:cs="Calibri"/>
          <w:color w:val="000000" w:themeColor="text1"/>
        </w:rPr>
        <w:t xml:space="preserve">From 16 June, </w:t>
      </w:r>
      <w:hyperlink r:id="rId12" w:history="1">
        <w:r w:rsidRPr="00C657F2">
          <w:rPr>
            <w:rStyle w:val="Hyperlink"/>
            <w:rFonts w:ascii="Calibri" w:hAnsi="Calibri" w:cs="Calibri"/>
            <w:color w:val="2F5496" w:themeColor="accent1" w:themeShade="BF"/>
          </w:rPr>
          <w:t>updates to the online GP registration service</w:t>
        </w:r>
      </w:hyperlink>
      <w:r w:rsidRPr="00C657F2">
        <w:rPr>
          <w:rFonts w:ascii="Calibri" w:hAnsi="Calibri" w:cs="Calibri"/>
          <w:color w:val="000000" w:themeColor="text1"/>
        </w:rPr>
        <w:t xml:space="preserve"> will help identify patients potentially affected by contaminated blood, in line with recommendations from the Infected Blood Inquiry.</w:t>
      </w:r>
    </w:p>
    <w:p w14:paraId="36766295" w14:textId="77777777" w:rsidR="00C657F2" w:rsidRPr="00C657F2" w:rsidRDefault="00C657F2" w:rsidP="00C657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657F2">
        <w:rPr>
          <w:rFonts w:ascii="Calibri" w:hAnsi="Calibri" w:cs="Calibri"/>
          <w:color w:val="000000" w:themeColor="text1"/>
        </w:rPr>
        <w:t>New patients born before 1996 who use the online GP registration service will be asked if they received a blood transfusion prior to that year. Where new patients indicate they have, GP practices should follow up during the new patient health check – or opportunistically - to discuss, offer or signpost to hepatitis C testing.</w:t>
      </w:r>
    </w:p>
    <w:p w14:paraId="76B0B53C" w14:textId="77777777" w:rsidR="00C657F2" w:rsidRPr="00C657F2" w:rsidRDefault="00C657F2" w:rsidP="00C657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657F2">
        <w:rPr>
          <w:rFonts w:ascii="Calibri" w:hAnsi="Calibri" w:cs="Calibri"/>
          <w:color w:val="000000" w:themeColor="text1"/>
        </w:rPr>
        <w:t xml:space="preserve">Free home self-tests are available for patients to order on the </w:t>
      </w:r>
      <w:hyperlink r:id="rId13" w:history="1">
        <w:r w:rsidRPr="00C657F2">
          <w:rPr>
            <w:rStyle w:val="Hyperlink"/>
            <w:rFonts w:ascii="Calibri" w:hAnsi="Calibri" w:cs="Calibri"/>
            <w:color w:val="2F5496" w:themeColor="accent1" w:themeShade="BF"/>
          </w:rPr>
          <w:t>hepctest.nhs.uk</w:t>
        </w:r>
      </w:hyperlink>
      <w:r w:rsidRPr="00C657F2">
        <w:rPr>
          <w:rFonts w:ascii="Calibri" w:hAnsi="Calibri" w:cs="Calibri"/>
          <w:color w:val="2F5496" w:themeColor="accent1" w:themeShade="BF"/>
        </w:rPr>
        <w:t xml:space="preserve"> </w:t>
      </w:r>
      <w:r w:rsidRPr="00C657F2">
        <w:rPr>
          <w:rFonts w:ascii="Calibri" w:hAnsi="Calibri" w:cs="Calibri"/>
          <w:color w:val="000000" w:themeColor="text1"/>
        </w:rPr>
        <w:t xml:space="preserve">website. </w:t>
      </w:r>
      <w:hyperlink r:id="rId14" w:history="1">
        <w:r w:rsidRPr="00C657F2">
          <w:rPr>
            <w:rStyle w:val="Hyperlink"/>
            <w:rFonts w:ascii="Calibri" w:hAnsi="Calibri" w:cs="Calibri"/>
            <w:color w:val="2F5496" w:themeColor="accent1" w:themeShade="BF"/>
          </w:rPr>
          <w:t>Guidance</w:t>
        </w:r>
      </w:hyperlink>
      <w:r w:rsidRPr="00C657F2">
        <w:rPr>
          <w:rFonts w:ascii="Calibri" w:hAnsi="Calibri" w:cs="Calibri"/>
          <w:color w:val="000000" w:themeColor="text1"/>
        </w:rPr>
        <w:t xml:space="preserve"> is available for GP practices to support this change.</w:t>
      </w:r>
    </w:p>
    <w:p w14:paraId="061E0FDB" w14:textId="77777777" w:rsidR="00752146" w:rsidRDefault="00752146" w:rsidP="00315167">
      <w:pPr>
        <w:spacing w:after="0"/>
        <w:textAlignment w:val="baseline"/>
        <w:rPr>
          <w:rFonts w:ascii="Calibri" w:hAnsi="Calibri" w:cs="Calibri"/>
          <w:b/>
          <w:bCs/>
          <w:color w:val="2F5496" w:themeColor="accent1" w:themeShade="BF"/>
        </w:rPr>
      </w:pPr>
    </w:p>
    <w:p w14:paraId="6CD139A1" w14:textId="77777777" w:rsidR="00752146" w:rsidRPr="006445EB" w:rsidRDefault="00752146" w:rsidP="00315167">
      <w:pPr>
        <w:spacing w:after="0"/>
        <w:textAlignment w:val="baseline"/>
        <w:rPr>
          <w:rFonts w:ascii="Calibri" w:hAnsi="Calibri" w:cs="Calibri"/>
          <w:b/>
          <w:bCs/>
          <w:color w:val="000000" w:themeColor="text1"/>
        </w:rPr>
      </w:pPr>
    </w:p>
    <w:p w14:paraId="79166306" w14:textId="7C10617D" w:rsidR="006445EB" w:rsidRDefault="00856927" w:rsidP="00C5132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t>3.</w:t>
      </w:r>
      <w:r w:rsidR="006445EB" w:rsidRPr="006445EB">
        <w:rPr>
          <w:rFonts w:ascii="Calibri" w:hAnsi="Calibri" w:cs="Calibri"/>
          <w:b/>
          <w:bCs/>
          <w:color w:val="000000" w:themeColor="text1"/>
        </w:rPr>
        <w:t>Advice and Guidance Enhanced Service - confirm participation</w:t>
      </w:r>
    </w:p>
    <w:bookmarkEnd w:id="2"/>
    <w:p w14:paraId="720ACDC6" w14:textId="77777777" w:rsidR="000D4A1A" w:rsidRPr="006445EB" w:rsidRDefault="000D4A1A" w:rsidP="00C5132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6AE1C3AE" w14:textId="77777777" w:rsidR="006445EB" w:rsidRPr="006445EB" w:rsidRDefault="006445EB" w:rsidP="00C5132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6445EB">
        <w:rPr>
          <w:rFonts w:ascii="Calibri" w:hAnsi="Calibri" w:cs="Calibri"/>
          <w:color w:val="000000" w:themeColor="text1"/>
        </w:rPr>
        <w:t xml:space="preserve">All ICBs will now have offered the </w:t>
      </w:r>
      <w:hyperlink r:id="rId15" w:history="1">
        <w:r w:rsidRPr="006445EB">
          <w:rPr>
            <w:rStyle w:val="Hyperlink"/>
            <w:rFonts w:ascii="Calibri" w:hAnsi="Calibri" w:cs="Calibri"/>
            <w:color w:val="2F5496" w:themeColor="accent1" w:themeShade="BF"/>
          </w:rPr>
          <w:t>Advice and Guidance Enhanced Service</w:t>
        </w:r>
      </w:hyperlink>
      <w:r w:rsidRPr="006445EB">
        <w:rPr>
          <w:rFonts w:ascii="Calibri" w:hAnsi="Calibri" w:cs="Calibri"/>
          <w:color w:val="000000" w:themeColor="text1"/>
        </w:rPr>
        <w:t xml:space="preserve"> to practices via CQRS. Practices now have until 27 May 2025 to confirm participation. This new enhanced service provides up to £80m in additional funding and enables practices to claim £20 per episode of care for GP led pre-referral Advice and Guidance requests. Practices signing up can claim for eligible advice and guidance requests (as described in the specification), that have been completed since 1 April 2025</w:t>
      </w:r>
      <w:r w:rsidRPr="006445EB">
        <w:rPr>
          <w:rFonts w:ascii="Calibri" w:hAnsi="Calibri" w:cs="Calibri"/>
          <w:color w:val="2F5496" w:themeColor="accent1" w:themeShade="BF"/>
        </w:rPr>
        <w:t>.</w:t>
      </w:r>
    </w:p>
    <w:p w14:paraId="6474AA73" w14:textId="77777777" w:rsidR="00752146" w:rsidRPr="00856927" w:rsidRDefault="00752146" w:rsidP="00315167">
      <w:pPr>
        <w:spacing w:after="0"/>
        <w:textAlignment w:val="baseline"/>
        <w:rPr>
          <w:rFonts w:ascii="Calibri" w:hAnsi="Calibri" w:cs="Calibri"/>
          <w:color w:val="2F5496" w:themeColor="accent1" w:themeShade="BF"/>
        </w:rPr>
      </w:pPr>
    </w:p>
    <w:p w14:paraId="44796C7E" w14:textId="77777777" w:rsidR="00752146" w:rsidRDefault="00752146" w:rsidP="00315167">
      <w:pPr>
        <w:spacing w:after="0"/>
        <w:textAlignment w:val="baseline"/>
        <w:rPr>
          <w:rFonts w:ascii="Calibri" w:hAnsi="Calibri" w:cs="Calibri"/>
          <w:b/>
          <w:bCs/>
          <w:color w:val="2F5496" w:themeColor="accent1" w:themeShade="BF"/>
        </w:rPr>
      </w:pPr>
    </w:p>
    <w:p w14:paraId="25D2C6FA" w14:textId="77777777" w:rsidR="00752146" w:rsidRDefault="00752146" w:rsidP="00315167">
      <w:pPr>
        <w:spacing w:after="0"/>
        <w:textAlignment w:val="baseline"/>
        <w:rPr>
          <w:rFonts w:ascii="Calibri" w:hAnsi="Calibri" w:cs="Calibri"/>
          <w:b/>
          <w:bCs/>
          <w:color w:val="2F5496" w:themeColor="accent1" w:themeShade="BF"/>
        </w:rPr>
      </w:pPr>
    </w:p>
    <w:p w14:paraId="401B2C33" w14:textId="61353D04"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sidRPr="00D23BF2">
        <w:rPr>
          <w:rFonts w:ascii="Calibri" w:hAnsi="Calibri" w:cs="Calibri"/>
          <w:b/>
          <w:bCs/>
          <w:color w:val="000000" w:themeColor="text1"/>
        </w:rPr>
        <w:t>4.</w:t>
      </w:r>
      <w:r w:rsidRPr="00D23BF2">
        <w:rPr>
          <w:rFonts w:ascii="Calibri" w:hAnsi="Calibri" w:cs="Calibri"/>
          <w:b/>
          <w:bCs/>
          <w:color w:val="000000" w:themeColor="text1"/>
        </w:rPr>
        <w:t>Sickle Cell Awareness Event Thursday 19th June 2025 11am</w:t>
      </w:r>
    </w:p>
    <w:bookmarkEnd w:id="3"/>
    <w:p w14:paraId="768851AB"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D7B7D83"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color w:val="000000" w:themeColor="text1"/>
        </w:rPr>
        <w:t xml:space="preserve">As part of World Sickle Cell Day, OSCAR Birmingham will be running an Information and Awareness event on </w:t>
      </w:r>
      <w:r w:rsidRPr="00D23BF2">
        <w:rPr>
          <w:rFonts w:ascii="Calibri" w:hAnsi="Calibri" w:cs="Calibri"/>
          <w:b/>
          <w:bCs/>
          <w:color w:val="000000" w:themeColor="text1"/>
        </w:rPr>
        <w:t>Thursday 19</w:t>
      </w:r>
      <w:r w:rsidRPr="00D23BF2">
        <w:rPr>
          <w:rFonts w:ascii="Calibri" w:hAnsi="Calibri" w:cs="Calibri"/>
          <w:b/>
          <w:bCs/>
          <w:color w:val="000000" w:themeColor="text1"/>
          <w:vertAlign w:val="superscript"/>
        </w:rPr>
        <w:t>th</w:t>
      </w:r>
      <w:r w:rsidRPr="00D23BF2">
        <w:rPr>
          <w:rFonts w:ascii="Calibri" w:hAnsi="Calibri" w:cs="Calibri"/>
          <w:b/>
          <w:bCs/>
          <w:color w:val="000000" w:themeColor="text1"/>
        </w:rPr>
        <w:t xml:space="preserve"> June 2025.</w:t>
      </w:r>
      <w:r w:rsidRPr="00D23BF2">
        <w:rPr>
          <w:rFonts w:ascii="Calibri" w:hAnsi="Calibri" w:cs="Calibri"/>
          <w:color w:val="000000" w:themeColor="text1"/>
        </w:rPr>
        <w:t xml:space="preserve"> I would like to invite you to join us on this day.</w:t>
      </w:r>
    </w:p>
    <w:p w14:paraId="358AF464"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color w:val="000000" w:themeColor="text1"/>
        </w:rPr>
        <w:t> </w:t>
      </w:r>
    </w:p>
    <w:p w14:paraId="2ECE6616"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color w:val="000000" w:themeColor="text1"/>
        </w:rPr>
        <w:t>This event will be held at:</w:t>
      </w:r>
    </w:p>
    <w:p w14:paraId="3F2F37F4"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color w:val="000000" w:themeColor="text1"/>
        </w:rPr>
        <w:t> </w:t>
      </w:r>
    </w:p>
    <w:p w14:paraId="11825CF1"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b/>
          <w:bCs/>
          <w:color w:val="000000" w:themeColor="text1"/>
        </w:rPr>
        <w:t>Where:</w:t>
      </w:r>
      <w:r w:rsidRPr="00D23BF2">
        <w:rPr>
          <w:rFonts w:ascii="Calibri" w:hAnsi="Calibri" w:cs="Calibri"/>
          <w:color w:val="000000" w:themeColor="text1"/>
        </w:rPr>
        <w:t xml:space="preserve"> Soho House Museum (Tea Room), Soho Avenue, Handsworth, B18 5LB</w:t>
      </w:r>
    </w:p>
    <w:p w14:paraId="51344019"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b/>
          <w:bCs/>
          <w:color w:val="000000" w:themeColor="text1"/>
        </w:rPr>
        <w:t>Time:</w:t>
      </w:r>
      <w:r w:rsidRPr="00D23BF2">
        <w:rPr>
          <w:rFonts w:ascii="Calibri" w:hAnsi="Calibri" w:cs="Calibri"/>
          <w:color w:val="000000" w:themeColor="text1"/>
        </w:rPr>
        <w:t xml:space="preserve"> 11am-2pm. Refreshments and light lunch will be provided.</w:t>
      </w:r>
    </w:p>
    <w:p w14:paraId="5C8BE1E9"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color w:val="000000" w:themeColor="text1"/>
        </w:rPr>
        <w:t> </w:t>
      </w:r>
    </w:p>
    <w:p w14:paraId="7D6697E2"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23BF2">
        <w:rPr>
          <w:rFonts w:ascii="Calibri" w:hAnsi="Calibri" w:cs="Calibri"/>
          <w:color w:val="000000" w:themeColor="text1"/>
        </w:rPr>
        <w:t>Registration is required due to limited places.  Please use the link below for more details and to register.</w:t>
      </w:r>
    </w:p>
    <w:p w14:paraId="63DDBD0C"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r w:rsidRPr="00D23BF2">
        <w:rPr>
          <w:rFonts w:ascii="Calibri" w:hAnsi="Calibri" w:cs="Calibri"/>
          <w:b/>
          <w:bCs/>
          <w:color w:val="2F5496" w:themeColor="accent1" w:themeShade="BF"/>
        </w:rPr>
        <w:t> </w:t>
      </w:r>
    </w:p>
    <w:p w14:paraId="4CAA709E" w14:textId="77777777" w:rsidR="00D23BF2" w:rsidRPr="00D23BF2" w:rsidRDefault="00D23BF2" w:rsidP="000C77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hyperlink r:id="rId16" w:history="1">
        <w:r w:rsidRPr="00D23BF2">
          <w:rPr>
            <w:rStyle w:val="Hyperlink"/>
            <w:rFonts w:ascii="Calibri" w:hAnsi="Calibri" w:cs="Calibri"/>
            <w:color w:val="2F5496" w:themeColor="accent1" w:themeShade="BF"/>
          </w:rPr>
          <w:t>https://www.eventbrite.co.uk/e/sickle-cell-awareness-2025-tickets-1375966004359?aff=oddtdtcreato</w:t>
        </w:r>
        <w:r w:rsidRPr="00D23BF2">
          <w:rPr>
            <w:rStyle w:val="Hyperlink"/>
            <w:rFonts w:ascii="Calibri" w:hAnsi="Calibri" w:cs="Calibri"/>
            <w:b/>
            <w:bCs/>
          </w:rPr>
          <w:t>r</w:t>
        </w:r>
      </w:hyperlink>
      <w:r w:rsidRPr="00D23BF2">
        <w:rPr>
          <w:rFonts w:ascii="Calibri" w:hAnsi="Calibri" w:cs="Calibri"/>
          <w:b/>
          <w:bCs/>
          <w:color w:val="2F5496" w:themeColor="accent1" w:themeShade="BF"/>
        </w:rPr>
        <w:t> </w:t>
      </w:r>
    </w:p>
    <w:p w14:paraId="6C3C99FA" w14:textId="77777777" w:rsidR="00D23BF2" w:rsidRDefault="00D23BF2" w:rsidP="00315167">
      <w:pPr>
        <w:spacing w:after="0"/>
        <w:textAlignment w:val="baseline"/>
        <w:rPr>
          <w:rFonts w:ascii="Calibri" w:hAnsi="Calibri" w:cs="Calibri"/>
          <w:b/>
          <w:bCs/>
          <w:color w:val="2F5496" w:themeColor="accent1" w:themeShade="BF"/>
        </w:rPr>
      </w:pPr>
    </w:p>
    <w:p w14:paraId="7CF016F4" w14:textId="77777777" w:rsidR="00752146" w:rsidRDefault="00752146" w:rsidP="00315167">
      <w:pPr>
        <w:spacing w:after="0"/>
        <w:textAlignment w:val="baseline"/>
        <w:rPr>
          <w:rFonts w:ascii="Calibri" w:hAnsi="Calibri" w:cs="Calibri"/>
          <w:b/>
          <w:bCs/>
          <w:color w:val="2F5496" w:themeColor="accent1" w:themeShade="BF"/>
        </w:rPr>
      </w:pPr>
    </w:p>
    <w:p w14:paraId="19065BDA" w14:textId="77777777" w:rsidR="00965C04" w:rsidRDefault="00965C04" w:rsidP="0083677C">
      <w:pPr>
        <w:spacing w:after="0"/>
        <w:textAlignment w:val="baseline"/>
        <w:rPr>
          <w:rFonts w:ascii="Calibri" w:hAnsi="Calibri" w:cs="Calibri"/>
          <w:b/>
          <w:bCs/>
          <w:color w:val="000000" w:themeColor="text1"/>
        </w:rPr>
      </w:pPr>
    </w:p>
    <w:p w14:paraId="73DBE47B" w14:textId="77777777" w:rsidR="00965C04" w:rsidRDefault="00965C04" w:rsidP="0083677C">
      <w:pPr>
        <w:spacing w:after="0"/>
        <w:textAlignment w:val="baseline"/>
        <w:rPr>
          <w:rFonts w:ascii="Calibri" w:hAnsi="Calibri" w:cs="Calibri"/>
          <w:b/>
          <w:bCs/>
          <w:color w:val="000000" w:themeColor="text1"/>
        </w:rPr>
      </w:pPr>
    </w:p>
    <w:p w14:paraId="07CE73E9" w14:textId="77777777" w:rsidR="00965C04" w:rsidRDefault="00965C04" w:rsidP="0083677C">
      <w:pPr>
        <w:spacing w:after="0"/>
        <w:textAlignment w:val="baseline"/>
        <w:rPr>
          <w:rFonts w:ascii="Calibri" w:hAnsi="Calibri" w:cs="Calibri"/>
          <w:b/>
          <w:bCs/>
          <w:color w:val="000000" w:themeColor="text1"/>
        </w:rPr>
      </w:pPr>
    </w:p>
    <w:p w14:paraId="64C5D3F5" w14:textId="77777777" w:rsidR="00965C04" w:rsidRDefault="00965C04" w:rsidP="0083677C">
      <w:pPr>
        <w:spacing w:after="0"/>
        <w:textAlignment w:val="baseline"/>
        <w:rPr>
          <w:rFonts w:ascii="Calibri" w:hAnsi="Calibri" w:cs="Calibri"/>
          <w:b/>
          <w:bCs/>
          <w:color w:val="000000" w:themeColor="text1"/>
        </w:rPr>
      </w:pPr>
    </w:p>
    <w:p w14:paraId="76484A58" w14:textId="77777777" w:rsidR="00965C04" w:rsidRDefault="00965C04" w:rsidP="0083677C">
      <w:pPr>
        <w:spacing w:after="0"/>
        <w:textAlignment w:val="baseline"/>
        <w:rPr>
          <w:rFonts w:ascii="Calibri" w:hAnsi="Calibri" w:cs="Calibri"/>
          <w:b/>
          <w:bCs/>
          <w:color w:val="000000" w:themeColor="text1"/>
        </w:rPr>
      </w:pPr>
      <w:bookmarkStart w:id="4" w:name="NO5"/>
    </w:p>
    <w:p w14:paraId="546CF2F0" w14:textId="4B15088E" w:rsidR="0083677C" w:rsidRDefault="00965C04"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b/>
          <w:bCs/>
          <w:color w:val="000000" w:themeColor="text1"/>
        </w:rPr>
        <w:t>5.</w:t>
      </w:r>
      <w:r w:rsidR="0083677C" w:rsidRPr="0083677C">
        <w:rPr>
          <w:rFonts w:ascii="Calibri" w:hAnsi="Calibri" w:cs="Calibri"/>
          <w:b/>
          <w:bCs/>
          <w:color w:val="000000" w:themeColor="text1"/>
        </w:rPr>
        <w:t>Sign-up process launched for autumn/winter 2025/26 COVID-19 and flu vaccination services</w:t>
      </w:r>
      <w:r w:rsidR="0083677C" w:rsidRPr="0083677C">
        <w:rPr>
          <w:rFonts w:ascii="Calibri" w:hAnsi="Calibri" w:cs="Calibri"/>
          <w:color w:val="000000" w:themeColor="text1"/>
        </w:rPr>
        <w:t> </w:t>
      </w:r>
    </w:p>
    <w:bookmarkEnd w:id="4"/>
    <w:p w14:paraId="79DD0BE1" w14:textId="77777777" w:rsidR="00965C04" w:rsidRPr="0083677C" w:rsidRDefault="00965C04"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2B0D1BA" w14:textId="77777777" w:rsidR="0083677C" w:rsidRPr="0083677C" w:rsidRDefault="0083677C"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3677C">
        <w:rPr>
          <w:rFonts w:ascii="Calibri" w:hAnsi="Calibri" w:cs="Calibri"/>
          <w:color w:val="000000" w:themeColor="text1"/>
        </w:rPr>
        <w:t xml:space="preserve">Providers wishing to deliver the COVID-19 Vaccination Service from their healthcare premises from 1 October 2025 are now invited to sign-up through the </w:t>
      </w:r>
      <w:hyperlink r:id="rId17" w:history="1">
        <w:r w:rsidRPr="0083677C">
          <w:rPr>
            <w:rStyle w:val="Hyperlink"/>
            <w:rFonts w:ascii="Calibri" w:hAnsi="Calibri" w:cs="Calibri"/>
          </w:rPr>
          <w:t>NHSBSA webpage</w:t>
        </w:r>
      </w:hyperlink>
      <w:r w:rsidRPr="0083677C">
        <w:rPr>
          <w:rFonts w:ascii="Calibri" w:hAnsi="Calibri" w:cs="Calibri"/>
          <w:color w:val="000000" w:themeColor="text1"/>
        </w:rPr>
        <w:t xml:space="preserve"> by 16 June 2025. Any provider that wants to participate in the programme must read the guidance outlining the process. Providers that already hold contracts that end on 31 March 2026 do not need to participate in this process.</w:t>
      </w:r>
    </w:p>
    <w:p w14:paraId="046AC608" w14:textId="77777777" w:rsidR="0083677C" w:rsidRPr="0083677C" w:rsidRDefault="0083677C"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3677C">
        <w:rPr>
          <w:rFonts w:ascii="Calibri" w:hAnsi="Calibri" w:cs="Calibri"/>
          <w:color w:val="000000" w:themeColor="text1"/>
        </w:rPr>
        <w:t>Published documents include:</w:t>
      </w:r>
    </w:p>
    <w:p w14:paraId="0F3BE552" w14:textId="77777777" w:rsidR="0083677C" w:rsidRPr="0083677C" w:rsidRDefault="0083677C"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3677C">
        <w:rPr>
          <w:rFonts w:ascii="Calibri" w:hAnsi="Calibri" w:cs="Calibri"/>
          <w:color w:val="000000" w:themeColor="text1"/>
        </w:rPr>
        <w:t xml:space="preserve">COVID-19 vaccination enhanced service specification for </w:t>
      </w:r>
      <w:hyperlink r:id="rId18" w:history="1">
        <w:r w:rsidRPr="0083677C">
          <w:rPr>
            <w:rStyle w:val="Hyperlink"/>
            <w:rFonts w:ascii="Calibri" w:hAnsi="Calibri" w:cs="Calibri"/>
          </w:rPr>
          <w:t>general practice</w:t>
        </w:r>
      </w:hyperlink>
      <w:r w:rsidRPr="0083677C">
        <w:rPr>
          <w:rFonts w:ascii="Calibri" w:hAnsi="Calibri" w:cs="Calibri"/>
          <w:color w:val="000000" w:themeColor="text1"/>
        </w:rPr>
        <w:t xml:space="preserve"> and </w:t>
      </w:r>
      <w:hyperlink r:id="rId19" w:history="1">
        <w:r w:rsidRPr="0083677C">
          <w:rPr>
            <w:rStyle w:val="Hyperlink"/>
            <w:rFonts w:ascii="Calibri" w:hAnsi="Calibri" w:cs="Calibri"/>
          </w:rPr>
          <w:t>community pharmacy</w:t>
        </w:r>
      </w:hyperlink>
    </w:p>
    <w:p w14:paraId="07D9280D" w14:textId="77777777" w:rsidR="0083677C" w:rsidRPr="0083677C" w:rsidRDefault="0083677C"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20" w:history="1">
        <w:r w:rsidRPr="0083677C">
          <w:rPr>
            <w:rStyle w:val="Hyperlink"/>
            <w:rFonts w:ascii="Calibri" w:hAnsi="Calibri" w:cs="Calibri"/>
          </w:rPr>
          <w:t>Guidance</w:t>
        </w:r>
      </w:hyperlink>
      <w:r w:rsidRPr="0083677C">
        <w:rPr>
          <w:rFonts w:ascii="Calibri" w:hAnsi="Calibri" w:cs="Calibri"/>
          <w:color w:val="000000" w:themeColor="text1"/>
        </w:rPr>
        <w:t xml:space="preserve"> on the COVID-19 Vaccination Service Site Sign-up Process</w:t>
      </w:r>
    </w:p>
    <w:p w14:paraId="30E2231C" w14:textId="301DAA21" w:rsidR="0083677C" w:rsidRPr="0083677C" w:rsidRDefault="0083677C" w:rsidP="00965C0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21" w:history="1">
        <w:r w:rsidRPr="0083677C">
          <w:rPr>
            <w:rStyle w:val="Hyperlink"/>
            <w:rFonts w:ascii="Calibri" w:hAnsi="Calibri" w:cs="Calibri"/>
          </w:rPr>
          <w:t>Seasonal influenza letter</w:t>
        </w:r>
      </w:hyperlink>
      <w:r w:rsidRPr="0083677C">
        <w:rPr>
          <w:rFonts w:ascii="Calibri" w:hAnsi="Calibri" w:cs="Calibri"/>
          <w:color w:val="000000" w:themeColor="text1"/>
        </w:rPr>
        <w:t>. (service specifications to be published shortly).</w:t>
      </w:r>
    </w:p>
    <w:p w14:paraId="18890A8D" w14:textId="77777777" w:rsidR="00752146" w:rsidRPr="00776D07" w:rsidRDefault="00752146" w:rsidP="00315167">
      <w:pPr>
        <w:spacing w:after="0"/>
        <w:textAlignment w:val="baseline"/>
        <w:rPr>
          <w:rFonts w:ascii="Calibri" w:hAnsi="Calibri" w:cs="Calibri"/>
          <w:color w:val="000000" w:themeColor="text1"/>
        </w:rPr>
      </w:pPr>
    </w:p>
    <w:p w14:paraId="61E1A2D4" w14:textId="77777777" w:rsidR="00752146" w:rsidRDefault="00752146" w:rsidP="00315167">
      <w:pPr>
        <w:spacing w:after="0"/>
        <w:textAlignment w:val="baseline"/>
        <w:rPr>
          <w:rFonts w:ascii="Calibri" w:hAnsi="Calibri" w:cs="Calibri"/>
          <w:b/>
          <w:bCs/>
          <w:color w:val="2F5496" w:themeColor="accent1" w:themeShade="BF"/>
        </w:rPr>
      </w:pPr>
    </w:p>
    <w:p w14:paraId="672614E4" w14:textId="77777777" w:rsidR="00752146" w:rsidRDefault="00752146" w:rsidP="00315167">
      <w:pPr>
        <w:spacing w:after="0"/>
        <w:textAlignment w:val="baseline"/>
        <w:rPr>
          <w:rFonts w:ascii="Calibri" w:hAnsi="Calibri" w:cs="Calibri"/>
          <w:b/>
          <w:bCs/>
          <w:color w:val="2F5496" w:themeColor="accent1" w:themeShade="BF"/>
        </w:rPr>
      </w:pPr>
    </w:p>
    <w:p w14:paraId="30175F03" w14:textId="44CD79AA" w:rsidR="005C54CB" w:rsidRDefault="00D72C58" w:rsidP="00D72C5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005C54CB" w:rsidRPr="005C54CB">
        <w:rPr>
          <w:rFonts w:ascii="Calibri" w:hAnsi="Calibri" w:cs="Calibri"/>
          <w:b/>
          <w:bCs/>
          <w:color w:val="000000" w:themeColor="text1"/>
        </w:rPr>
        <w:t>Legacy Smartcard deprecation</w:t>
      </w:r>
      <w:bookmarkEnd w:id="5"/>
    </w:p>
    <w:p w14:paraId="4D3D4355" w14:textId="77777777" w:rsidR="005C54CB" w:rsidRPr="005C54CB" w:rsidRDefault="005C54CB" w:rsidP="00D72C5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0BA4BC4D" w14:textId="77777777" w:rsidR="005C54CB" w:rsidRDefault="005C54CB" w:rsidP="00D72C5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C54CB">
        <w:rPr>
          <w:rFonts w:ascii="Calibri" w:hAnsi="Calibri" w:cs="Calibri"/>
          <w:color w:val="000000" w:themeColor="text1"/>
        </w:rPr>
        <w:t xml:space="preserve">To continue using smartcards for signing electronic prescriptions after June 2025, all relevant computers and devices must have the software </w:t>
      </w:r>
      <w:proofErr w:type="spellStart"/>
      <w:r w:rsidRPr="005C54CB">
        <w:rPr>
          <w:rFonts w:ascii="Calibri" w:hAnsi="Calibri" w:cs="Calibri"/>
          <w:color w:val="000000" w:themeColor="text1"/>
        </w:rPr>
        <w:t>Oberthur</w:t>
      </w:r>
      <w:proofErr w:type="spellEnd"/>
      <w:r w:rsidRPr="005C54CB">
        <w:rPr>
          <w:rFonts w:ascii="Calibri" w:hAnsi="Calibri" w:cs="Calibri"/>
          <w:color w:val="000000" w:themeColor="text1"/>
        </w:rPr>
        <w:t xml:space="preserve"> middleware installed. Middleware is the communications link between applications on a computer and the specialised computer code located on the smartcard chip.</w:t>
      </w:r>
    </w:p>
    <w:p w14:paraId="1B2BEA52" w14:textId="77777777" w:rsidR="005C54CB" w:rsidRPr="005C54CB" w:rsidRDefault="005C54CB" w:rsidP="00D72C5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9D89104" w14:textId="77777777" w:rsidR="005C54CB" w:rsidRPr="005C54CB" w:rsidRDefault="005C54CB" w:rsidP="00D72C5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5C54CB">
        <w:rPr>
          <w:rFonts w:ascii="Calibri" w:hAnsi="Calibri" w:cs="Calibri"/>
          <w:color w:val="000000" w:themeColor="text1"/>
        </w:rPr>
        <w:t xml:space="preserve">IT teams should deploy </w:t>
      </w:r>
      <w:proofErr w:type="spellStart"/>
      <w:r w:rsidRPr="005C54CB">
        <w:rPr>
          <w:rFonts w:ascii="Calibri" w:hAnsi="Calibri" w:cs="Calibri"/>
          <w:color w:val="000000" w:themeColor="text1"/>
        </w:rPr>
        <w:t>Oberthur</w:t>
      </w:r>
      <w:proofErr w:type="spellEnd"/>
      <w:r w:rsidRPr="005C54CB">
        <w:rPr>
          <w:rFonts w:ascii="Calibri" w:hAnsi="Calibri" w:cs="Calibri"/>
          <w:color w:val="000000" w:themeColor="text1"/>
        </w:rPr>
        <w:t xml:space="preserve"> middleware to avoid disruption to prescription signing when GP system suppliers roll out a change to the security associated with the electronic signing keys</w:t>
      </w:r>
      <w:r w:rsidRPr="005C54CB">
        <w:rPr>
          <w:rFonts w:ascii="Calibri" w:hAnsi="Calibri" w:cs="Calibri"/>
          <w:color w:val="2F5496" w:themeColor="accent1" w:themeShade="BF"/>
        </w:rPr>
        <w:t xml:space="preserve">. </w:t>
      </w:r>
      <w:hyperlink r:id="rId22" w:history="1">
        <w:r w:rsidRPr="005C54CB">
          <w:rPr>
            <w:rStyle w:val="Hyperlink"/>
            <w:rFonts w:ascii="Calibri" w:hAnsi="Calibri" w:cs="Calibri"/>
            <w:color w:val="2F5496" w:themeColor="accent1" w:themeShade="BF"/>
          </w:rPr>
          <w:t>Read the guidance</w:t>
        </w:r>
      </w:hyperlink>
      <w:r w:rsidRPr="005C54CB">
        <w:rPr>
          <w:rFonts w:ascii="Calibri" w:hAnsi="Calibri" w:cs="Calibri"/>
          <w:color w:val="2F5496" w:themeColor="accent1" w:themeShade="BF"/>
        </w:rPr>
        <w:t>.</w:t>
      </w:r>
    </w:p>
    <w:p w14:paraId="70337AF5" w14:textId="77777777" w:rsidR="00B647A4" w:rsidRPr="005C54CB" w:rsidRDefault="00B647A4" w:rsidP="00315167">
      <w:pPr>
        <w:spacing w:after="0"/>
        <w:textAlignment w:val="baseline"/>
        <w:rPr>
          <w:rFonts w:ascii="Calibri" w:hAnsi="Calibri" w:cs="Calibri"/>
          <w:color w:val="000000" w:themeColor="text1"/>
        </w:rPr>
      </w:pPr>
    </w:p>
    <w:p w14:paraId="7FA709CF" w14:textId="77777777" w:rsidR="00752146" w:rsidRDefault="00752146" w:rsidP="00315167">
      <w:pPr>
        <w:spacing w:after="0"/>
        <w:textAlignment w:val="baseline"/>
        <w:rPr>
          <w:rFonts w:ascii="Calibri" w:hAnsi="Calibri" w:cs="Calibri"/>
          <w:b/>
          <w:bCs/>
          <w:color w:val="2F5496" w:themeColor="accent1" w:themeShade="BF"/>
        </w:rPr>
      </w:pPr>
    </w:p>
    <w:p w14:paraId="26D7CAD3" w14:textId="77777777" w:rsidR="00E50815" w:rsidRDefault="00E50815" w:rsidP="00E50815">
      <w:pPr>
        <w:spacing w:after="0"/>
        <w:textAlignment w:val="baseline"/>
        <w:rPr>
          <w:rFonts w:ascii="Calibri" w:hAnsi="Calibri" w:cs="Calibri"/>
          <w:b/>
          <w:bCs/>
          <w:color w:val="2F5496" w:themeColor="accent1" w:themeShade="BF"/>
        </w:rPr>
      </w:pPr>
    </w:p>
    <w:p w14:paraId="175C7FD5" w14:textId="77777777" w:rsidR="00E50815" w:rsidRDefault="00E50815" w:rsidP="00E50815">
      <w:pPr>
        <w:spacing w:after="0"/>
        <w:textAlignment w:val="baseline"/>
        <w:rPr>
          <w:rFonts w:ascii="Calibri" w:hAnsi="Calibri" w:cs="Calibri"/>
          <w:b/>
          <w:bCs/>
          <w:color w:val="2F5496" w:themeColor="accent1" w:themeShade="BF"/>
        </w:rPr>
      </w:pPr>
    </w:p>
    <w:p w14:paraId="7BAA06B2" w14:textId="77777777" w:rsidR="00E50815" w:rsidRDefault="00E50815" w:rsidP="00E50815">
      <w:pPr>
        <w:spacing w:after="0"/>
        <w:textAlignment w:val="baseline"/>
        <w:rPr>
          <w:rFonts w:ascii="Calibri" w:hAnsi="Calibri" w:cs="Calibri"/>
          <w:b/>
          <w:bCs/>
          <w:color w:val="2F5496" w:themeColor="accent1" w:themeShade="BF"/>
        </w:rPr>
      </w:pPr>
    </w:p>
    <w:p w14:paraId="715D72D0" w14:textId="77777777" w:rsidR="00E50815" w:rsidRDefault="00E50815" w:rsidP="00E50815">
      <w:pPr>
        <w:spacing w:after="0"/>
        <w:textAlignment w:val="baseline"/>
        <w:rPr>
          <w:rFonts w:ascii="Calibri" w:hAnsi="Calibri" w:cs="Calibri"/>
          <w:b/>
          <w:bCs/>
          <w:color w:val="2F5496" w:themeColor="accent1" w:themeShade="BF"/>
        </w:rPr>
      </w:pPr>
    </w:p>
    <w:p w14:paraId="12B39979" w14:textId="77777777" w:rsidR="00E50815" w:rsidRDefault="00E50815" w:rsidP="00E50815">
      <w:pPr>
        <w:spacing w:after="0"/>
        <w:textAlignment w:val="baseline"/>
        <w:rPr>
          <w:rFonts w:ascii="Calibri" w:hAnsi="Calibri" w:cs="Calibri"/>
          <w:b/>
          <w:bCs/>
          <w:color w:val="2F5496" w:themeColor="accent1" w:themeShade="BF"/>
        </w:rPr>
      </w:pPr>
    </w:p>
    <w:p w14:paraId="77908E5D" w14:textId="77777777" w:rsidR="00E50815" w:rsidRDefault="00E50815" w:rsidP="00E50815">
      <w:pPr>
        <w:spacing w:after="0"/>
        <w:textAlignment w:val="baseline"/>
        <w:rPr>
          <w:rFonts w:ascii="Calibri" w:hAnsi="Calibri" w:cs="Calibri"/>
          <w:b/>
          <w:bCs/>
          <w:color w:val="2F5496" w:themeColor="accent1" w:themeShade="BF"/>
        </w:rPr>
      </w:pPr>
    </w:p>
    <w:p w14:paraId="7CC883BA" w14:textId="77777777" w:rsidR="00E50815" w:rsidRDefault="00E50815" w:rsidP="00E50815">
      <w:pPr>
        <w:spacing w:after="0"/>
        <w:textAlignment w:val="baseline"/>
        <w:rPr>
          <w:rFonts w:ascii="Calibri" w:hAnsi="Calibri" w:cs="Calibri"/>
          <w:b/>
          <w:bCs/>
          <w:color w:val="2F5496" w:themeColor="accent1" w:themeShade="BF"/>
        </w:rPr>
      </w:pPr>
    </w:p>
    <w:p w14:paraId="4A854D31" w14:textId="77777777" w:rsidR="00E50815" w:rsidRDefault="00E50815" w:rsidP="00E50815">
      <w:pPr>
        <w:spacing w:after="0"/>
        <w:textAlignment w:val="baseline"/>
        <w:rPr>
          <w:rFonts w:ascii="Calibri" w:hAnsi="Calibri" w:cs="Calibri"/>
          <w:b/>
          <w:bCs/>
          <w:color w:val="2F5496" w:themeColor="accent1" w:themeShade="BF"/>
        </w:rPr>
      </w:pPr>
    </w:p>
    <w:p w14:paraId="510FBE11" w14:textId="77777777" w:rsidR="00E50815" w:rsidRDefault="00E50815" w:rsidP="00E50815">
      <w:pPr>
        <w:spacing w:after="0"/>
        <w:textAlignment w:val="baseline"/>
        <w:rPr>
          <w:rFonts w:ascii="Calibri" w:hAnsi="Calibri" w:cs="Calibri"/>
          <w:b/>
          <w:bCs/>
          <w:color w:val="2F5496" w:themeColor="accent1" w:themeShade="BF"/>
        </w:rPr>
      </w:pPr>
    </w:p>
    <w:p w14:paraId="41824F12" w14:textId="77777777" w:rsidR="00E50815" w:rsidRDefault="00E50815" w:rsidP="00E50815">
      <w:pPr>
        <w:spacing w:after="0"/>
        <w:textAlignment w:val="baseline"/>
        <w:rPr>
          <w:rFonts w:ascii="Calibri" w:hAnsi="Calibri" w:cs="Calibri"/>
          <w:b/>
          <w:bCs/>
          <w:color w:val="2F5496" w:themeColor="accent1" w:themeShade="BF"/>
        </w:rPr>
      </w:pPr>
    </w:p>
    <w:p w14:paraId="5337BD64" w14:textId="77777777" w:rsidR="00E50815" w:rsidRDefault="00E50815" w:rsidP="00E50815">
      <w:pPr>
        <w:spacing w:after="0"/>
        <w:textAlignment w:val="baseline"/>
        <w:rPr>
          <w:rFonts w:ascii="Calibri" w:hAnsi="Calibri" w:cs="Calibri"/>
          <w:b/>
          <w:bCs/>
          <w:color w:val="2F5496" w:themeColor="accent1" w:themeShade="BF"/>
        </w:rPr>
      </w:pPr>
    </w:p>
    <w:p w14:paraId="1976814F" w14:textId="77777777" w:rsidR="00E50815" w:rsidRDefault="00E50815" w:rsidP="00E50815">
      <w:pPr>
        <w:spacing w:after="0"/>
        <w:textAlignment w:val="baseline"/>
        <w:rPr>
          <w:rFonts w:ascii="Calibri" w:hAnsi="Calibri" w:cs="Calibri"/>
          <w:b/>
          <w:bCs/>
          <w:color w:val="2F5496" w:themeColor="accent1" w:themeShade="BF"/>
        </w:rPr>
      </w:pPr>
    </w:p>
    <w:p w14:paraId="5348E96E" w14:textId="77777777" w:rsidR="00E50815" w:rsidRDefault="00E50815" w:rsidP="00E50815">
      <w:pPr>
        <w:spacing w:after="0"/>
        <w:textAlignment w:val="baseline"/>
        <w:rPr>
          <w:rFonts w:ascii="Calibri" w:hAnsi="Calibri" w:cs="Calibri"/>
          <w:b/>
          <w:bCs/>
          <w:color w:val="2F5496" w:themeColor="accent1" w:themeShade="BF"/>
        </w:rPr>
      </w:pPr>
    </w:p>
    <w:p w14:paraId="60E8C2CC" w14:textId="77777777" w:rsidR="00E50815" w:rsidRDefault="00E50815" w:rsidP="00E50815">
      <w:pPr>
        <w:spacing w:after="0"/>
        <w:textAlignment w:val="baseline"/>
        <w:rPr>
          <w:rFonts w:ascii="Calibri" w:hAnsi="Calibri" w:cs="Calibri"/>
          <w:b/>
          <w:bCs/>
          <w:color w:val="2F5496" w:themeColor="accent1" w:themeShade="BF"/>
        </w:rPr>
      </w:pPr>
    </w:p>
    <w:p w14:paraId="1771B159" w14:textId="77777777" w:rsidR="00E50815" w:rsidRDefault="00E50815" w:rsidP="00E50815">
      <w:pPr>
        <w:spacing w:after="0"/>
        <w:textAlignment w:val="baseline"/>
        <w:rPr>
          <w:rFonts w:ascii="Calibri" w:hAnsi="Calibri" w:cs="Calibri"/>
          <w:b/>
          <w:bCs/>
          <w:color w:val="2F5496" w:themeColor="accent1" w:themeShade="BF"/>
        </w:rPr>
      </w:pPr>
    </w:p>
    <w:p w14:paraId="3B96EA74" w14:textId="77777777" w:rsidR="00E50815" w:rsidRDefault="00E50815" w:rsidP="00E50815">
      <w:pPr>
        <w:spacing w:after="0"/>
        <w:textAlignment w:val="baseline"/>
        <w:rPr>
          <w:rFonts w:ascii="Calibri" w:hAnsi="Calibri" w:cs="Calibri"/>
          <w:b/>
          <w:bCs/>
          <w:color w:val="2F5496" w:themeColor="accent1" w:themeShade="BF"/>
        </w:rPr>
      </w:pPr>
    </w:p>
    <w:p w14:paraId="3ACB27E4" w14:textId="77777777" w:rsidR="00E50815" w:rsidRDefault="00E50815" w:rsidP="00E50815">
      <w:pPr>
        <w:spacing w:after="0"/>
        <w:textAlignment w:val="baseline"/>
        <w:rPr>
          <w:rFonts w:ascii="Calibri" w:hAnsi="Calibri" w:cs="Calibri"/>
          <w:b/>
          <w:bCs/>
          <w:color w:val="2F5496" w:themeColor="accent1" w:themeShade="BF"/>
        </w:rPr>
      </w:pPr>
    </w:p>
    <w:p w14:paraId="35E5B05C" w14:textId="77777777" w:rsidR="00E50815" w:rsidRDefault="00E50815" w:rsidP="00E50815">
      <w:pPr>
        <w:spacing w:after="0"/>
        <w:textAlignment w:val="baseline"/>
        <w:rPr>
          <w:rFonts w:ascii="Calibri" w:hAnsi="Calibri" w:cs="Calibri"/>
          <w:b/>
          <w:bCs/>
          <w:color w:val="2F5496" w:themeColor="accent1" w:themeShade="BF"/>
        </w:rPr>
      </w:pPr>
    </w:p>
    <w:p w14:paraId="1C5441FB" w14:textId="77777777" w:rsidR="00E50815" w:rsidRDefault="00E50815" w:rsidP="00E50815">
      <w:pPr>
        <w:spacing w:after="0"/>
        <w:textAlignment w:val="baseline"/>
        <w:rPr>
          <w:rFonts w:ascii="Calibri" w:hAnsi="Calibri" w:cs="Calibri"/>
          <w:b/>
          <w:bCs/>
          <w:color w:val="2F5496" w:themeColor="accent1" w:themeShade="BF"/>
        </w:rPr>
      </w:pPr>
    </w:p>
    <w:p w14:paraId="766B5627" w14:textId="77777777" w:rsid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6" w:name="NO7"/>
      <w:r>
        <w:rPr>
          <w:rFonts w:ascii="Calibri" w:hAnsi="Calibri" w:cs="Calibri"/>
          <w:b/>
          <w:bCs/>
          <w:color w:val="000000" w:themeColor="text1"/>
        </w:rPr>
        <w:t>7.</w:t>
      </w:r>
      <w:r w:rsidRPr="00E50815">
        <w:rPr>
          <w:rFonts w:ascii="Calibri" w:hAnsi="Calibri" w:cs="Calibri"/>
          <w:b/>
          <w:bCs/>
          <w:color w:val="000000" w:themeColor="text1"/>
        </w:rPr>
        <w:t xml:space="preserve">Important Update: End of Contract with Quit with Bella App </w:t>
      </w:r>
    </w:p>
    <w:bookmarkEnd w:id="6"/>
    <w:p w14:paraId="1CB76692" w14:textId="77777777" w:rsid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FCAC618" w14:textId="43121BC4"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50815">
        <w:rPr>
          <w:rFonts w:ascii="Calibri" w:hAnsi="Calibri" w:cs="Calibri"/>
          <w:color w:val="000000" w:themeColor="text1"/>
        </w:rPr>
        <w:t>Please Update Patient Signposting</w:t>
      </w:r>
      <w:r w:rsidRPr="00E50815">
        <w:rPr>
          <w:rFonts w:ascii="Calibri" w:hAnsi="Calibri" w:cs="Calibri"/>
          <w:color w:val="000000" w:themeColor="text1"/>
        </w:rPr>
        <w:t xml:space="preserve"> </w:t>
      </w:r>
      <w:r w:rsidRPr="00E50815">
        <w:rPr>
          <w:rFonts w:ascii="Calibri" w:hAnsi="Calibri" w:cs="Calibri"/>
          <w:color w:val="000000" w:themeColor="text1"/>
        </w:rPr>
        <w:t xml:space="preserve">Birmingham City Council’s contract with the Quit with Bella digital stop smoking app will expire on 31st May 2025. As a result, </w:t>
      </w:r>
      <w:proofErr w:type="gramStart"/>
      <w:r w:rsidRPr="00E50815">
        <w:rPr>
          <w:rFonts w:ascii="Calibri" w:hAnsi="Calibri" w:cs="Calibri"/>
          <w:color w:val="000000" w:themeColor="text1"/>
        </w:rPr>
        <w:t>Quit</w:t>
      </w:r>
      <w:proofErr w:type="gramEnd"/>
      <w:r w:rsidRPr="00E50815">
        <w:rPr>
          <w:rFonts w:ascii="Calibri" w:hAnsi="Calibri" w:cs="Calibri"/>
          <w:color w:val="000000" w:themeColor="text1"/>
        </w:rPr>
        <w:t xml:space="preserve"> with Bella will no longer be available as part of the Community Stop Smoking Service offer beyond this date</w:t>
      </w:r>
      <w:r w:rsidRPr="00E50815">
        <w:rPr>
          <w:rFonts w:ascii="Calibri" w:hAnsi="Calibri" w:cs="Calibri"/>
          <w:b/>
          <w:bCs/>
          <w:color w:val="000000" w:themeColor="text1"/>
        </w:rPr>
        <w:t>.</w:t>
      </w:r>
    </w:p>
    <w:p w14:paraId="311E6B93"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7711AC9B"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Please ensure that you no longer signpost patients to the Quit with Bella app after this date.</w:t>
      </w:r>
    </w:p>
    <w:p w14:paraId="7C17BE13"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5E3E433"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Instead, we ask that all GP practices, pharmacies and businesses now signpost patients to the free NHS Quit Smoking app.</w:t>
      </w:r>
    </w:p>
    <w:p w14:paraId="02B657C4"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851A883"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The NHS Quit Smoking app is designed to provide personalised support to help individuals quit smoking for good. Key features include:</w:t>
      </w:r>
    </w:p>
    <w:p w14:paraId="5FBA66CF"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D06ED0B"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Progress tracking</w:t>
      </w:r>
    </w:p>
    <w:p w14:paraId="5DC06A4E"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Cost savings calculator</w:t>
      </w:r>
    </w:p>
    <w:p w14:paraId="39BB0BBA"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Daily motivational support</w:t>
      </w:r>
    </w:p>
    <w:p w14:paraId="57BDACCB"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Success stories and inspiration from others</w:t>
      </w:r>
    </w:p>
    <w:p w14:paraId="229AD9DD"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9A4BF44"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Evidence shows that once someone reaches 28 days smoke-free, they are significantly more likely to quit for good. The NHS app is a trusted, evidence-based resource that can help patients reach this milestone.</w:t>
      </w:r>
    </w:p>
    <w:p w14:paraId="304A4E39"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DA7B53A"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Please update your materials and signposting procedures accordingly.</w:t>
      </w:r>
    </w:p>
    <w:p w14:paraId="15E047B7"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82C028F" w14:textId="77777777" w:rsidR="00E50815" w:rsidRPr="00E50815" w:rsidRDefault="00E50815" w:rsidP="00E508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0815">
        <w:rPr>
          <w:rFonts w:ascii="Calibri" w:hAnsi="Calibri" w:cs="Calibri"/>
          <w:color w:val="000000" w:themeColor="text1"/>
        </w:rPr>
        <w:t>Thank you for your continued commitment to supporting Birmingham residents in leading healthier, smoke-free lives.</w:t>
      </w:r>
    </w:p>
    <w:p w14:paraId="433633CC" w14:textId="77777777" w:rsidR="00E50815" w:rsidRPr="00E50815" w:rsidRDefault="00E50815" w:rsidP="00E50815">
      <w:pPr>
        <w:spacing w:after="0"/>
        <w:textAlignment w:val="baseline"/>
        <w:rPr>
          <w:rFonts w:ascii="Calibri" w:hAnsi="Calibri" w:cs="Calibri"/>
          <w:b/>
          <w:bCs/>
          <w:color w:val="2F5496" w:themeColor="accent1" w:themeShade="BF"/>
        </w:rPr>
      </w:pPr>
    </w:p>
    <w:p w14:paraId="46697A2B" w14:textId="77777777" w:rsidR="00752146" w:rsidRDefault="00752146" w:rsidP="00315167">
      <w:pPr>
        <w:spacing w:after="0"/>
        <w:textAlignment w:val="baseline"/>
        <w:rPr>
          <w:rFonts w:ascii="Calibri" w:hAnsi="Calibri" w:cs="Calibri"/>
          <w:b/>
          <w:bCs/>
          <w:color w:val="2F5496" w:themeColor="accent1" w:themeShade="BF"/>
        </w:rPr>
      </w:pPr>
    </w:p>
    <w:p w14:paraId="53566F06" w14:textId="66FEEE9D" w:rsid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Pr="00F7051D">
        <w:rPr>
          <w:rFonts w:ascii="Calibri" w:hAnsi="Calibri" w:cs="Calibri"/>
          <w:b/>
          <w:bCs/>
          <w:color w:val="000000" w:themeColor="text1"/>
        </w:rPr>
        <w:t>GPC England update</w:t>
      </w:r>
    </w:p>
    <w:bookmarkEnd w:id="7"/>
    <w:p w14:paraId="04C332B2"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35EE224E"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Please find attached update from GPC England for your information.  Included in the update are the following articles:</w:t>
      </w:r>
    </w:p>
    <w:p w14:paraId="0BA6DE1C"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BA38E7F"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DDRB Pay Awards 2025/6</w:t>
      </w:r>
    </w:p>
    <w:p w14:paraId="6C9E6C0F"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GP Wellbeing Resources</w:t>
      </w:r>
    </w:p>
    <w:p w14:paraId="14A4780F"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GP Unemployment Campaign</w:t>
      </w:r>
    </w:p>
    <w:p w14:paraId="049E8DA0"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Sign up window for Advice and Guidance (A&amp;E) Extended</w:t>
      </w:r>
    </w:p>
    <w:p w14:paraId="51ABF31D"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New GP drive to find undiagnosed infected blood patients</w:t>
      </w:r>
    </w:p>
    <w:p w14:paraId="4C9A7E05"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Seniority Payments Update</w:t>
      </w:r>
    </w:p>
    <w:p w14:paraId="5DE16187"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Removal from Performer’s List: Urgent, 111 and Out of Hours (OOH) GPs</w:t>
      </w:r>
    </w:p>
    <w:p w14:paraId="2A675E79" w14:textId="77777777" w:rsidR="00F7051D" w:rsidRPr="00F7051D" w:rsidRDefault="00F7051D" w:rsidP="00F7051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7051D">
        <w:rPr>
          <w:rFonts w:ascii="Calibri" w:hAnsi="Calibri" w:cs="Calibri"/>
          <w:color w:val="000000" w:themeColor="text1"/>
        </w:rPr>
        <w:t>Foresight AI model trained on GP Data</w:t>
      </w:r>
    </w:p>
    <w:p w14:paraId="7CA0E943" w14:textId="77777777" w:rsidR="00F7051D" w:rsidRDefault="00F7051D" w:rsidP="00315167">
      <w:pPr>
        <w:spacing w:after="0"/>
        <w:textAlignment w:val="baseline"/>
        <w:rPr>
          <w:rFonts w:ascii="Calibri" w:hAnsi="Calibri" w:cs="Calibri"/>
          <w:b/>
          <w:bCs/>
          <w:color w:val="2F5496" w:themeColor="accent1" w:themeShade="BF"/>
        </w:rPr>
      </w:pPr>
    </w:p>
    <w:p w14:paraId="7F223855" w14:textId="77777777" w:rsidR="00752146" w:rsidRPr="00076908" w:rsidRDefault="00752146"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lastRenderedPageBreak/>
        <w:t xml:space="preserve">Please note our office contact times remain 10:00-16:00 and any queries on the day should be directed to </w:t>
      </w:r>
      <w:hyperlink r:id="rId23"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4"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5"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6" w:history="1">
        <w:r w:rsidRPr="00C53DB4">
          <w:rPr>
            <w:rStyle w:val="Hyperlink"/>
            <w:rFonts w:cstheme="minorHAnsi"/>
            <w:b/>
            <w:bCs/>
          </w:rPr>
          <w:t>https://www.england.nhs.uk/</w:t>
        </w:r>
      </w:hyperlink>
    </w:p>
    <w:sectPr w:rsidR="00D14BAB" w:rsidSect="00A40293">
      <w:headerReference w:type="default" r:id="rId27"/>
      <w:footerReference w:type="default" r:id="rId28"/>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B9A2F" w14:textId="77777777" w:rsidR="00332E4F" w:rsidRDefault="00332E4F" w:rsidP="001B4E81">
      <w:pPr>
        <w:spacing w:after="0" w:line="240" w:lineRule="auto"/>
      </w:pPr>
      <w:r>
        <w:separator/>
      </w:r>
    </w:p>
  </w:endnote>
  <w:endnote w:type="continuationSeparator" w:id="0">
    <w:p w14:paraId="3F5313A3" w14:textId="77777777" w:rsidR="00332E4F" w:rsidRDefault="00332E4F" w:rsidP="001B4E81">
      <w:pPr>
        <w:spacing w:after="0" w:line="240" w:lineRule="auto"/>
      </w:pPr>
      <w:r>
        <w:continuationSeparator/>
      </w:r>
    </w:p>
  </w:endnote>
  <w:endnote w:type="continuationNotice" w:id="1">
    <w:p w14:paraId="38289A7F" w14:textId="77777777" w:rsidR="00332E4F" w:rsidRDefault="00332E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2DDDC" w14:textId="77777777" w:rsidR="00332E4F" w:rsidRDefault="00332E4F" w:rsidP="001B4E81">
      <w:pPr>
        <w:spacing w:after="0" w:line="240" w:lineRule="auto"/>
      </w:pPr>
      <w:r>
        <w:separator/>
      </w:r>
    </w:p>
  </w:footnote>
  <w:footnote w:type="continuationSeparator" w:id="0">
    <w:p w14:paraId="7507617F" w14:textId="77777777" w:rsidR="00332E4F" w:rsidRDefault="00332E4F" w:rsidP="001B4E81">
      <w:pPr>
        <w:spacing w:after="0" w:line="240" w:lineRule="auto"/>
      </w:pPr>
      <w:r>
        <w:continuationSeparator/>
      </w:r>
    </w:p>
  </w:footnote>
  <w:footnote w:type="continuationNotice" w:id="1">
    <w:p w14:paraId="69AB7F7E" w14:textId="77777777" w:rsidR="00332E4F" w:rsidRDefault="00332E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8"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25"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5F1264"/>
    <w:multiLevelType w:val="hybridMultilevel"/>
    <w:tmpl w:val="65D86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36" w15:restartNumberingAfterBreak="0">
    <w:nsid w:val="646847CE"/>
    <w:multiLevelType w:val="multilevel"/>
    <w:tmpl w:val="F63A9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8"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0"/>
  </w:num>
  <w:num w:numId="2" w16cid:durableId="161434421">
    <w:abstractNumId w:val="54"/>
  </w:num>
  <w:num w:numId="3" w16cid:durableId="1207523247">
    <w:abstractNumId w:val="9"/>
  </w:num>
  <w:num w:numId="4" w16cid:durableId="789477728">
    <w:abstractNumId w:val="19"/>
  </w:num>
  <w:num w:numId="5" w16cid:durableId="1439716184">
    <w:abstractNumId w:val="55"/>
  </w:num>
  <w:num w:numId="6" w16cid:durableId="1300766329">
    <w:abstractNumId w:val="23"/>
  </w:num>
  <w:num w:numId="7" w16cid:durableId="926112568">
    <w:abstractNumId w:val="1"/>
  </w:num>
  <w:num w:numId="8" w16cid:durableId="925654044">
    <w:abstractNumId w:val="47"/>
  </w:num>
  <w:num w:numId="9" w16cid:durableId="660962275">
    <w:abstractNumId w:val="3"/>
  </w:num>
  <w:num w:numId="10" w16cid:durableId="821697402">
    <w:abstractNumId w:val="24"/>
  </w:num>
  <w:num w:numId="11" w16cid:durableId="264652967">
    <w:abstractNumId w:val="12"/>
  </w:num>
  <w:num w:numId="12" w16cid:durableId="1640649437">
    <w:abstractNumId w:val="46"/>
  </w:num>
  <w:num w:numId="13" w16cid:durableId="1308588184">
    <w:abstractNumId w:val="44"/>
  </w:num>
  <w:num w:numId="14" w16cid:durableId="1640919933">
    <w:abstractNumId w:val="2"/>
  </w:num>
  <w:num w:numId="15" w16cid:durableId="1873683327">
    <w:abstractNumId w:val="52"/>
  </w:num>
  <w:num w:numId="16" w16cid:durableId="1128401359">
    <w:abstractNumId w:val="6"/>
  </w:num>
  <w:num w:numId="17" w16cid:durableId="1664971033">
    <w:abstractNumId w:val="31"/>
  </w:num>
  <w:num w:numId="18" w16cid:durableId="1819956202">
    <w:abstractNumId w:val="49"/>
  </w:num>
  <w:num w:numId="19" w16cid:durableId="1906210873">
    <w:abstractNumId w:val="40"/>
  </w:num>
  <w:num w:numId="20" w16cid:durableId="1949464414">
    <w:abstractNumId w:val="33"/>
  </w:num>
  <w:num w:numId="21" w16cid:durableId="1195269346">
    <w:abstractNumId w:val="32"/>
  </w:num>
  <w:num w:numId="22" w16cid:durableId="1784109296">
    <w:abstractNumId w:val="28"/>
  </w:num>
  <w:num w:numId="23" w16cid:durableId="556017852">
    <w:abstractNumId w:val="26"/>
  </w:num>
  <w:num w:numId="24" w16cid:durableId="416444482">
    <w:abstractNumId w:val="29"/>
  </w:num>
  <w:num w:numId="25" w16cid:durableId="1733961568">
    <w:abstractNumId w:val="45"/>
  </w:num>
  <w:num w:numId="26" w16cid:durableId="948395443">
    <w:abstractNumId w:val="13"/>
  </w:num>
  <w:num w:numId="27" w16cid:durableId="410784626">
    <w:abstractNumId w:val="20"/>
  </w:num>
  <w:num w:numId="28" w16cid:durableId="263342047">
    <w:abstractNumId w:val="50"/>
  </w:num>
  <w:num w:numId="29" w16cid:durableId="692923542">
    <w:abstractNumId w:val="27"/>
  </w:num>
  <w:num w:numId="30" w16cid:durableId="1368066881">
    <w:abstractNumId w:val="53"/>
  </w:num>
  <w:num w:numId="31" w16cid:durableId="1075474180">
    <w:abstractNumId w:val="30"/>
  </w:num>
  <w:num w:numId="32" w16cid:durableId="1509982090">
    <w:abstractNumId w:val="14"/>
  </w:num>
  <w:num w:numId="33" w16cid:durableId="2008751850">
    <w:abstractNumId w:val="48"/>
  </w:num>
  <w:num w:numId="34" w16cid:durableId="1197281596">
    <w:abstractNumId w:val="25"/>
  </w:num>
  <w:num w:numId="35" w16cid:durableId="506096805">
    <w:abstractNumId w:val="21"/>
  </w:num>
  <w:num w:numId="36" w16cid:durableId="1170750209">
    <w:abstractNumId w:val="37"/>
  </w:num>
  <w:num w:numId="37" w16cid:durableId="313611697">
    <w:abstractNumId w:val="7"/>
  </w:num>
  <w:num w:numId="38" w16cid:durableId="56126405">
    <w:abstractNumId w:val="35"/>
  </w:num>
  <w:num w:numId="39" w16cid:durableId="1933969029">
    <w:abstractNumId w:val="41"/>
  </w:num>
  <w:num w:numId="40" w16cid:durableId="1626505030">
    <w:abstractNumId w:val="42"/>
  </w:num>
  <w:num w:numId="41" w16cid:durableId="1007751562">
    <w:abstractNumId w:val="15"/>
  </w:num>
  <w:num w:numId="42" w16cid:durableId="1030573140">
    <w:abstractNumId w:val="18"/>
  </w:num>
  <w:num w:numId="43" w16cid:durableId="732582647">
    <w:abstractNumId w:val="22"/>
  </w:num>
  <w:num w:numId="44" w16cid:durableId="1695228288">
    <w:abstractNumId w:val="39"/>
  </w:num>
  <w:num w:numId="45" w16cid:durableId="398213368">
    <w:abstractNumId w:val="11"/>
  </w:num>
  <w:num w:numId="46" w16cid:durableId="2033145016">
    <w:abstractNumId w:val="38"/>
  </w:num>
  <w:num w:numId="47" w16cid:durableId="1755082248">
    <w:abstractNumId w:val="4"/>
  </w:num>
  <w:num w:numId="48" w16cid:durableId="229076658">
    <w:abstractNumId w:val="51"/>
  </w:num>
  <w:num w:numId="49" w16cid:durableId="1990865937">
    <w:abstractNumId w:val="43"/>
  </w:num>
  <w:num w:numId="50" w16cid:durableId="1393385331">
    <w:abstractNumId w:val="5"/>
  </w:num>
  <w:num w:numId="51" w16cid:durableId="431362257">
    <w:abstractNumId w:val="0"/>
  </w:num>
  <w:num w:numId="52" w16cid:durableId="738018980">
    <w:abstractNumId w:val="16"/>
  </w:num>
  <w:num w:numId="53" w16cid:durableId="605161562">
    <w:abstractNumId w:val="8"/>
  </w:num>
  <w:num w:numId="54" w16cid:durableId="1654259824">
    <w:abstractNumId w:val="17"/>
    <w:lvlOverride w:ilvl="0"/>
    <w:lvlOverride w:ilvl="1"/>
    <w:lvlOverride w:ilvl="2"/>
    <w:lvlOverride w:ilvl="3"/>
    <w:lvlOverride w:ilvl="4"/>
    <w:lvlOverride w:ilvl="5"/>
    <w:lvlOverride w:ilvl="6"/>
    <w:lvlOverride w:ilvl="7"/>
    <w:lvlOverride w:ilvl="8"/>
  </w:num>
  <w:num w:numId="55" w16cid:durableId="428938201">
    <w:abstractNumId w:val="36"/>
    <w:lvlOverride w:ilvl="0"/>
    <w:lvlOverride w:ilvl="1"/>
    <w:lvlOverride w:ilvl="2"/>
    <w:lvlOverride w:ilvl="3"/>
    <w:lvlOverride w:ilvl="4"/>
    <w:lvlOverride w:ilvl="5"/>
    <w:lvlOverride w:ilvl="6"/>
    <w:lvlOverride w:ilvl="7"/>
    <w:lvlOverride w:ilvl="8"/>
  </w:num>
  <w:num w:numId="56" w16cid:durableId="570045815">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4831"/>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37855"/>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C58"/>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815"/>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051D"/>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489755457">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5862450">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1136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3991421">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shhdhdt-tluhhdhyld-h/" TargetMode="External"/><Relationship Id="rId18" Type="http://schemas.openxmlformats.org/officeDocument/2006/relationships/hyperlink" Target="https://primarycarebulletin.cmail20.com/t/d-l-shuuhlt-tluhhdhyld-t/" TargetMode="External"/><Relationship Id="rId26" Type="http://schemas.openxmlformats.org/officeDocument/2006/relationships/hyperlink" Target="https://www.england.nhs.uk/" TargetMode="External"/><Relationship Id="rId3" Type="http://schemas.openxmlformats.org/officeDocument/2006/relationships/customXml" Target="../customXml/item3.xml"/><Relationship Id="rId21" Type="http://schemas.openxmlformats.org/officeDocument/2006/relationships/hyperlink" Target="https://primarycarebulletin.cmail20.com/t/d-l-shuuhlt-tluhhdhyld-h/" TargetMode="External"/><Relationship Id="rId7" Type="http://schemas.openxmlformats.org/officeDocument/2006/relationships/settings" Target="settings.xml"/><Relationship Id="rId12" Type="http://schemas.openxmlformats.org/officeDocument/2006/relationships/hyperlink" Target="https://primarycarebulletin.cmail19.com/t/d-l-shhdhdt-tluhhdhyld-d/" TargetMode="External"/><Relationship Id="rId17" Type="http://schemas.openxmlformats.org/officeDocument/2006/relationships/hyperlink" Target="https://primarycarebulletin.cmail20.com/t/d-l-shuuhlt-tluhhdhyld-j/" TargetMode="External"/><Relationship Id="rId25" Type="http://schemas.openxmlformats.org/officeDocument/2006/relationships/hyperlink" Target="https://www.gov.uk/coronavirus" TargetMode="External"/><Relationship Id="rId2" Type="http://schemas.openxmlformats.org/officeDocument/2006/relationships/customXml" Target="../customXml/item2.xml"/><Relationship Id="rId16" Type="http://schemas.openxmlformats.org/officeDocument/2006/relationships/hyperlink" Target="https://www.eventbrite.co.uk/e/sickle-cell-awareness-2025-tickets-1375966004359?aff=oddtdtcreator" TargetMode="External"/><Relationship Id="rId20" Type="http://schemas.openxmlformats.org/officeDocument/2006/relationships/hyperlink" Target="https://primarycarebulletin.cmail20.com/t/d-l-shuuhlt-tluhhdhyld-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shhdhdt-tluhhdhyld-j/" TargetMode="External"/><Relationship Id="rId24" Type="http://schemas.openxmlformats.org/officeDocument/2006/relationships/hyperlink" Target="https://www.bma.org.uk/advice-and-support/gp-practices" TargetMode="External"/><Relationship Id="rId5" Type="http://schemas.openxmlformats.org/officeDocument/2006/relationships/numbering" Target="numbering.xml"/><Relationship Id="rId15" Type="http://schemas.openxmlformats.org/officeDocument/2006/relationships/hyperlink" Target="https://primarycarebulletin.cmail19.com/t/d-l-shhdhdt-tluhhdhyld-u/" TargetMode="External"/><Relationship Id="rId23" Type="http://schemas.openxmlformats.org/officeDocument/2006/relationships/hyperlink" Target="mailto:birmingham.lmc@nhs.net"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rimarycarebulletin.cmail20.com/t/d-l-shuuhlt-tluhhdhyld-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shhdhdt-tluhhdhyld-k/" TargetMode="External"/><Relationship Id="rId22" Type="http://schemas.openxmlformats.org/officeDocument/2006/relationships/hyperlink" Target="https://primarycarebulletin.cmail20.com/t/d-l-shuuhlt-tluhhdhyld-k/"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2025-06-02T18:42:00Z</dcterms:created>
  <dcterms:modified xsi:type="dcterms:W3CDTF">2025-06-02T18:42:00Z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